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84" w:rsidRPr="00E17487" w:rsidRDefault="0038039A" w:rsidP="00BE2F23">
      <w:pPr>
        <w:pStyle w:val="Coverprivilegedandconfidential"/>
        <w:ind w:firstLine="425"/>
      </w:pPr>
      <w:bookmarkStart w:id="0" w:name="PrivilegedAndConfidential"/>
      <w:bookmarkStart w:id="1" w:name="_GoBack"/>
      <w:bookmarkEnd w:id="1"/>
      <w:r>
        <w:rPr>
          <w:noProof/>
          <w:lang w:eastAsia="en-NZ"/>
        </w:rPr>
        <w:drawing>
          <wp:inline distT="0" distB="0" distL="0" distR="0" wp14:anchorId="3B6FBD5D" wp14:editId="48C07A7E">
            <wp:extent cx="2371725" cy="285750"/>
            <wp:effectExtent l="19050" t="0" r="9525" b="0"/>
            <wp:docPr id="5" name="Picture 5" descr="privileged &amp; 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ileged &amp; confidential"/>
                    <pic:cNvPicPr>
                      <a:picLocks noChangeAspect="1" noChangeArrowheads="1"/>
                    </pic:cNvPicPr>
                  </pic:nvPicPr>
                  <pic:blipFill>
                    <a:blip r:embed="rId8"/>
                    <a:srcRect/>
                    <a:stretch>
                      <a:fillRect/>
                    </a:stretch>
                  </pic:blipFill>
                  <pic:spPr bwMode="auto">
                    <a:xfrm>
                      <a:off x="0" y="0"/>
                      <a:ext cx="2371725" cy="285750"/>
                    </a:xfrm>
                    <a:prstGeom prst="rect">
                      <a:avLst/>
                    </a:prstGeom>
                    <a:noFill/>
                    <a:ln w="9525">
                      <a:noFill/>
                      <a:miter lim="800000"/>
                      <a:headEnd/>
                      <a:tailEnd/>
                    </a:ln>
                  </pic:spPr>
                </pic:pic>
              </a:graphicData>
            </a:graphic>
          </wp:inline>
        </w:drawing>
      </w:r>
      <w:bookmarkEnd w:id="0"/>
    </w:p>
    <w:p w:rsidR="00381584" w:rsidRPr="00E17487" w:rsidRDefault="00381584" w:rsidP="0012154D">
      <w:pPr>
        <w:pStyle w:val="Coverline"/>
      </w:pPr>
    </w:p>
    <w:p w:rsidR="0012154D" w:rsidRPr="00E17487" w:rsidRDefault="0012154D" w:rsidP="0012154D">
      <w:pPr>
        <w:pStyle w:val="Coverline"/>
      </w:pPr>
    </w:p>
    <w:tbl>
      <w:tblPr>
        <w:tblStyle w:val="TableGrid"/>
        <w:tblW w:w="0" w:type="auto"/>
        <w:tblBorders>
          <w:top w:val="none" w:sz="0" w:space="0" w:color="auto"/>
          <w:left w:val="none" w:sz="0" w:space="0" w:color="auto"/>
          <w:right w:val="none" w:sz="0" w:space="0" w:color="auto"/>
          <w:insideV w:val="single" w:sz="4" w:space="0" w:color="7B5E05"/>
        </w:tblBorders>
        <w:tblLook w:val="01E0" w:firstRow="1" w:lastRow="1" w:firstColumn="1" w:lastColumn="1" w:noHBand="0" w:noVBand="0"/>
      </w:tblPr>
      <w:tblGrid>
        <w:gridCol w:w="14572"/>
      </w:tblGrid>
      <w:tr w:rsidR="006E2C84" w:rsidRPr="00E17487" w:rsidTr="006E2C84">
        <w:trPr>
          <w:trHeight w:hRule="exact" w:val="119"/>
        </w:trPr>
        <w:tc>
          <w:tcPr>
            <w:tcW w:w="14005" w:type="dxa"/>
            <w:tcBorders>
              <w:top w:val="nil"/>
              <w:bottom w:val="nil"/>
            </w:tcBorders>
            <w:shd w:val="clear" w:color="auto" w:fill="7B5E05"/>
            <w:tcMar>
              <w:left w:w="0" w:type="dxa"/>
              <w:right w:w="0" w:type="dxa"/>
            </w:tcMar>
            <w:vAlign w:val="bottom"/>
          </w:tcPr>
          <w:p w:rsidR="006E2C84" w:rsidRPr="00E17487" w:rsidRDefault="006E2C84" w:rsidP="006E2C84">
            <w:pPr>
              <w:pStyle w:val="Whitespace"/>
            </w:pPr>
          </w:p>
        </w:tc>
      </w:tr>
      <w:tr w:rsidR="004F2D72" w:rsidRPr="00E17487" w:rsidTr="00BF770D">
        <w:trPr>
          <w:trHeight w:val="283"/>
        </w:trPr>
        <w:tc>
          <w:tcPr>
            <w:tcW w:w="14113" w:type="dxa"/>
            <w:tcBorders>
              <w:top w:val="nil"/>
              <w:bottom w:val="nil"/>
            </w:tcBorders>
            <w:vAlign w:val="bottom"/>
          </w:tcPr>
          <w:p w:rsidR="004F2D72" w:rsidRPr="00E17487" w:rsidRDefault="004F2D72" w:rsidP="004F2D72">
            <w:pPr>
              <w:pStyle w:val="Coversubhead"/>
            </w:pPr>
          </w:p>
        </w:tc>
      </w:tr>
      <w:tr w:rsidR="00375278" w:rsidRPr="00E17487" w:rsidTr="005A2342">
        <w:trPr>
          <w:trHeight w:hRule="exact" w:val="2835"/>
        </w:trPr>
        <w:tc>
          <w:tcPr>
            <w:tcW w:w="14572" w:type="dxa"/>
            <w:tcBorders>
              <w:top w:val="nil"/>
              <w:bottom w:val="nil"/>
            </w:tcBorders>
            <w:vAlign w:val="bottom"/>
          </w:tcPr>
          <w:p w:rsidR="00375278" w:rsidRPr="00E17487" w:rsidRDefault="00BF770D" w:rsidP="005A2342">
            <w:pPr>
              <w:pStyle w:val="Coverheading"/>
            </w:pPr>
            <w:r w:rsidRPr="00E17487">
              <w:rPr>
                <w:noProof/>
                <w:lang w:eastAsia="en-NZ"/>
              </w:rPr>
              <w:drawing>
                <wp:anchor distT="0" distB="0" distL="114300" distR="114300" simplePos="0" relativeHeight="251668992" behindDoc="0" locked="0" layoutInCell="1" allowOverlap="1" wp14:anchorId="6352057C" wp14:editId="5CA95949">
                  <wp:simplePos x="0" y="0"/>
                  <wp:positionH relativeFrom="page">
                    <wp:posOffset>5362575</wp:posOffset>
                  </wp:positionH>
                  <wp:positionV relativeFrom="page">
                    <wp:posOffset>9820275</wp:posOffset>
                  </wp:positionV>
                  <wp:extent cx="2167255" cy="666750"/>
                  <wp:effectExtent l="19050" t="0" r="4445" b="0"/>
                  <wp:wrapNone/>
                  <wp:docPr id="3" name="Picture 1"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9" cstate="print"/>
                          <a:stretch>
                            <a:fillRect/>
                          </a:stretch>
                        </pic:blipFill>
                        <pic:spPr>
                          <a:xfrm>
                            <a:off x="0" y="0"/>
                            <a:ext cx="2167255" cy="666750"/>
                          </a:xfrm>
                          <a:prstGeom prst="rect">
                            <a:avLst/>
                          </a:prstGeom>
                        </pic:spPr>
                      </pic:pic>
                    </a:graphicData>
                  </a:graphic>
                </wp:anchor>
              </w:drawing>
            </w:r>
            <w:fldSimple w:instr=" DOCVARIABLE  rptTitle  \* MERGEFORMAT ">
              <w:r w:rsidR="008F1633">
                <w:t>Resource impacts of ePortals for general practices - Summary</w:t>
              </w:r>
            </w:fldSimple>
          </w:p>
        </w:tc>
      </w:tr>
      <w:tr w:rsidR="00801549" w:rsidRPr="00E17487" w:rsidTr="005A2342">
        <w:trPr>
          <w:trHeight w:hRule="exact" w:val="1259"/>
        </w:trPr>
        <w:tc>
          <w:tcPr>
            <w:tcW w:w="14572" w:type="dxa"/>
            <w:tcBorders>
              <w:top w:val="nil"/>
            </w:tcBorders>
            <w:tcMar>
              <w:bottom w:w="567" w:type="dxa"/>
            </w:tcMar>
          </w:tcPr>
          <w:p w:rsidR="00BF770D" w:rsidRPr="00E17487" w:rsidRDefault="00BF770D" w:rsidP="00BF770D">
            <w:pPr>
              <w:pStyle w:val="Coversubhead"/>
            </w:pPr>
          </w:p>
          <w:p w:rsidR="00BF770D" w:rsidRPr="00E17487" w:rsidRDefault="00BF770D" w:rsidP="00BF770D">
            <w:pPr>
              <w:pStyle w:val="Coversubhead"/>
            </w:pPr>
          </w:p>
          <w:p w:rsidR="00BF770D" w:rsidRPr="00E17487" w:rsidRDefault="00EE7F5F" w:rsidP="0005642C">
            <w:pPr>
              <w:pStyle w:val="Coversubhead"/>
            </w:pPr>
            <w:fldSimple w:instr=" DOCVARIABLE  rptPresentedTo  \* MERGEFORMAT ">
              <w:r w:rsidR="008F1633">
                <w:t xml:space="preserve"> </w:t>
              </w:r>
            </w:fldSimple>
          </w:p>
        </w:tc>
      </w:tr>
      <w:tr w:rsidR="00801549" w:rsidRPr="00E17487" w:rsidTr="005A2342">
        <w:trPr>
          <w:trHeight w:hRule="exact" w:val="397"/>
        </w:trPr>
        <w:tc>
          <w:tcPr>
            <w:tcW w:w="14572" w:type="dxa"/>
            <w:tcBorders>
              <w:bottom w:val="single" w:sz="4" w:space="0" w:color="auto"/>
            </w:tcBorders>
            <w:vAlign w:val="center"/>
          </w:tcPr>
          <w:p w:rsidR="00801549" w:rsidRPr="00E17487" w:rsidRDefault="00EE7F5F" w:rsidP="00424938">
            <w:pPr>
              <w:pStyle w:val="Coverauthor"/>
            </w:pPr>
            <w:fldSimple w:instr=" DOCVARIABLE  rptAuthors  \* MERGEFORMAT ">
              <w:r w:rsidR="008F1633">
                <w:t>Tom Love, Rohan Boyle</w:t>
              </w:r>
            </w:fldSimple>
          </w:p>
        </w:tc>
      </w:tr>
      <w:tr w:rsidR="006E2C84" w:rsidRPr="00E17487" w:rsidTr="005A2342">
        <w:trPr>
          <w:trHeight w:hRule="exact" w:val="850"/>
        </w:trPr>
        <w:tc>
          <w:tcPr>
            <w:tcW w:w="14572" w:type="dxa"/>
            <w:tcBorders>
              <w:top w:val="single" w:sz="4" w:space="0" w:color="auto"/>
              <w:bottom w:val="nil"/>
            </w:tcBorders>
            <w:vAlign w:val="center"/>
          </w:tcPr>
          <w:p w:rsidR="006E2C84" w:rsidRPr="00E17487" w:rsidRDefault="00EE7F5F" w:rsidP="006E2C84">
            <w:pPr>
              <w:pStyle w:val="Coverdate"/>
            </w:pPr>
            <w:fldSimple w:instr=" DOCVARIABLE  rptDate  \* MERGEFORMAT ">
              <w:r w:rsidR="008F1633">
                <w:t>14 May 2015</w:t>
              </w:r>
            </w:fldSimple>
          </w:p>
        </w:tc>
      </w:tr>
      <w:tr w:rsidR="006E2C84" w:rsidRPr="00E17487" w:rsidTr="005A2342">
        <w:trPr>
          <w:trHeight w:val="850"/>
        </w:trPr>
        <w:tc>
          <w:tcPr>
            <w:tcW w:w="14572" w:type="dxa"/>
            <w:tcBorders>
              <w:top w:val="nil"/>
              <w:bottom w:val="nil"/>
            </w:tcBorders>
            <w:vAlign w:val="center"/>
          </w:tcPr>
          <w:p w:rsidR="006E2C84" w:rsidRPr="00E17487" w:rsidRDefault="006E2C84" w:rsidP="006E2C84">
            <w:pPr>
              <w:pStyle w:val="Coverdate"/>
            </w:pPr>
          </w:p>
        </w:tc>
      </w:tr>
      <w:tr w:rsidR="006E2C84" w:rsidRPr="00E17487" w:rsidTr="007B1AFD">
        <w:trPr>
          <w:trHeight w:hRule="exact" w:val="119"/>
        </w:trPr>
        <w:tc>
          <w:tcPr>
            <w:tcW w:w="14572" w:type="dxa"/>
            <w:tcBorders>
              <w:top w:val="nil"/>
              <w:bottom w:val="nil"/>
            </w:tcBorders>
            <w:shd w:val="clear" w:color="auto" w:fill="7B5E05"/>
            <w:vAlign w:val="center"/>
          </w:tcPr>
          <w:p w:rsidR="006E2C84" w:rsidRPr="00E17487" w:rsidRDefault="006E2C84" w:rsidP="006E2C84">
            <w:pPr>
              <w:pStyle w:val="Coverdate"/>
            </w:pPr>
          </w:p>
        </w:tc>
      </w:tr>
    </w:tbl>
    <w:p w:rsidR="0056203F" w:rsidRPr="00E17487" w:rsidRDefault="00B52CE1" w:rsidP="005A2342">
      <w:bookmarkStart w:id="2" w:name="image"/>
      <w:bookmarkEnd w:id="2"/>
      <w:r w:rsidRPr="00E17487">
        <w:rPr>
          <w:noProof/>
          <w:lang w:eastAsia="en-NZ"/>
        </w:rPr>
        <w:drawing>
          <wp:anchor distT="0" distB="0" distL="114300" distR="114300" simplePos="0" relativeHeight="251658752" behindDoc="1" locked="0" layoutInCell="1" allowOverlap="1" wp14:anchorId="67D32D4B" wp14:editId="2B7D860A">
            <wp:simplePos x="0" y="0"/>
            <wp:positionH relativeFrom="page">
              <wp:posOffset>7867650</wp:posOffset>
            </wp:positionH>
            <wp:positionV relativeFrom="page">
              <wp:posOffset>6254750</wp:posOffset>
            </wp:positionV>
            <wp:extent cx="2171700" cy="666750"/>
            <wp:effectExtent l="19050" t="0" r="0" b="0"/>
            <wp:wrapNone/>
            <wp:docPr id="2" name="Picture 1"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9" cstate="print"/>
                    <a:stretch>
                      <a:fillRect/>
                    </a:stretch>
                  </pic:blipFill>
                  <pic:spPr>
                    <a:xfrm>
                      <a:off x="0" y="0"/>
                      <a:ext cx="2171700" cy="666750"/>
                    </a:xfrm>
                    <a:prstGeom prst="rect">
                      <a:avLst/>
                    </a:prstGeom>
                  </pic:spPr>
                </pic:pic>
              </a:graphicData>
            </a:graphic>
          </wp:anchor>
        </w:drawing>
      </w:r>
      <w:r w:rsidR="0056203F" w:rsidRPr="00E17487">
        <w:br w:type="page"/>
      </w:r>
    </w:p>
    <w:p w:rsidR="0056203F" w:rsidRPr="00E17487" w:rsidRDefault="0056203F" w:rsidP="00EC782D">
      <w:pPr>
        <w:sectPr w:rsidR="0056203F" w:rsidRPr="00E17487" w:rsidSect="007B1AFD">
          <w:headerReference w:type="even" r:id="rId10"/>
          <w:headerReference w:type="default" r:id="rId11"/>
          <w:footerReference w:type="even" r:id="rId12"/>
          <w:footerReference w:type="default" r:id="rId13"/>
          <w:headerReference w:type="first" r:id="rId14"/>
          <w:footerReference w:type="first" r:id="rId15"/>
          <w:endnotePr>
            <w:numFmt w:val="decimal"/>
          </w:endnotePr>
          <w:pgSz w:w="16840" w:h="11907" w:orient="landscape" w:code="9"/>
          <w:pgMar w:top="1418" w:right="1134" w:bottom="1418" w:left="1134" w:header="567" w:footer="567" w:gutter="0"/>
          <w:pgNumType w:start="1"/>
          <w:cols w:space="720"/>
          <w:titlePg/>
          <w:docGrid w:linePitch="299"/>
        </w:sectPr>
      </w:pPr>
    </w:p>
    <w:p w:rsidR="005353C2" w:rsidRPr="00E17487" w:rsidRDefault="005353C2" w:rsidP="000A41C3">
      <w:pPr>
        <w:pStyle w:val="Heading-nontableofcontents"/>
        <w:pageBreakBefore w:val="0"/>
        <w:spacing w:before="600"/>
      </w:pPr>
      <w:r w:rsidRPr="00E17487">
        <w:lastRenderedPageBreak/>
        <w:t>About Sapere Research Group Limited</w:t>
      </w:r>
    </w:p>
    <w:p w:rsidR="00E87346" w:rsidRPr="00E17487" w:rsidRDefault="005353C2" w:rsidP="005353C2">
      <w:pPr>
        <w:pStyle w:val="UnnumtextBodytext"/>
      </w:pPr>
      <w:r w:rsidRPr="00E17487">
        <w:t>Sapere Research Group is one of the largest expert consulting firms in Australasia and a leader in provision of independent economic, forensic accounting and public policy services.  Sapere provides independent expert testimony, strategic advisory services, data analytics and other advice to Australasia’s private sector corporate clients, major law firms, government a</w:t>
      </w:r>
      <w:r w:rsidR="00E87346" w:rsidRPr="00E17487">
        <w:t>gencies, and regulatory bodies.</w:t>
      </w:r>
      <w:r w:rsidR="005A2342" w:rsidRPr="00E17487">
        <w:t xml:space="preserve"> </w:t>
      </w:r>
    </w:p>
    <w:p w:rsidR="005353C2" w:rsidRPr="00E17487" w:rsidRDefault="005353C2" w:rsidP="005353C2">
      <w:pPr>
        <w:pStyle w:val="Whitespace"/>
      </w:pPr>
    </w:p>
    <w:tbl>
      <w:tblPr>
        <w:tblStyle w:val="TableSapereGrid"/>
        <w:tblW w:w="14617" w:type="dxa"/>
        <w:tblInd w:w="85" w:type="dxa"/>
        <w:tblBorders>
          <w:insideH w:val="none" w:sz="0" w:space="0" w:color="auto"/>
          <w:insideV w:val="none" w:sz="0" w:space="0" w:color="auto"/>
        </w:tblBorders>
        <w:tblCellMar>
          <w:top w:w="0" w:type="dxa"/>
          <w:left w:w="113" w:type="dxa"/>
          <w:bottom w:w="0" w:type="dxa"/>
          <w:right w:w="113" w:type="dxa"/>
        </w:tblCellMar>
        <w:tblLook w:val="0480" w:firstRow="0" w:lastRow="0" w:firstColumn="1" w:lastColumn="0" w:noHBand="0" w:noVBand="1"/>
      </w:tblPr>
      <w:tblGrid>
        <w:gridCol w:w="2301"/>
        <w:gridCol w:w="2301"/>
        <w:gridCol w:w="2301"/>
        <w:gridCol w:w="114"/>
        <w:gridCol w:w="2472"/>
        <w:gridCol w:w="2698"/>
        <w:gridCol w:w="2430"/>
      </w:tblGrid>
      <w:tr w:rsidR="006E3F7E" w:rsidRPr="00E17487" w:rsidTr="00D3574A">
        <w:tc>
          <w:tcPr>
            <w:tcW w:w="2301" w:type="dxa"/>
            <w:tcBorders>
              <w:top w:val="single" w:sz="4" w:space="0" w:color="7B5E05"/>
              <w:bottom w:val="single" w:sz="4" w:space="0" w:color="7B5E05"/>
              <w:right w:val="single" w:sz="4" w:space="0" w:color="7B5E05"/>
            </w:tcBorders>
            <w:tcMar>
              <w:top w:w="0" w:type="dxa"/>
              <w:bottom w:w="0" w:type="dxa"/>
            </w:tcMar>
          </w:tcPr>
          <w:p w:rsidR="00F24ABD" w:rsidRPr="00E17487" w:rsidRDefault="00F24ABD" w:rsidP="00F24ABD">
            <w:pPr>
              <w:pStyle w:val="Table-bodyheading"/>
              <w:spacing w:before="113"/>
              <w:rPr>
                <w:color w:val="7B5E05"/>
              </w:rPr>
            </w:pPr>
            <w:r w:rsidRPr="00E17487">
              <w:rPr>
                <w:color w:val="7B5E05"/>
              </w:rPr>
              <w:t>Wellington</w:t>
            </w:r>
          </w:p>
          <w:p w:rsidR="00F24ABD" w:rsidRPr="00E17487" w:rsidRDefault="00F24ABD" w:rsidP="00F24ABD">
            <w:pPr>
              <w:pStyle w:val="Table-bodytext"/>
              <w:spacing w:after="0"/>
            </w:pPr>
            <w:r w:rsidRPr="00E17487">
              <w:t>Level 9, 1 Willeston St</w:t>
            </w:r>
          </w:p>
          <w:p w:rsidR="00F24ABD" w:rsidRPr="00E17487" w:rsidRDefault="00F24ABD" w:rsidP="00F24ABD">
            <w:pPr>
              <w:pStyle w:val="Table-bodytext"/>
              <w:spacing w:after="0"/>
            </w:pPr>
            <w:r w:rsidRPr="00E17487">
              <w:t>PO Box 587</w:t>
            </w:r>
          </w:p>
          <w:p w:rsidR="00F24ABD" w:rsidRPr="00E17487" w:rsidRDefault="00F24ABD" w:rsidP="00F24ABD">
            <w:pPr>
              <w:pStyle w:val="Table-bodytext"/>
              <w:spacing w:after="0"/>
            </w:pPr>
            <w:r w:rsidRPr="00E17487">
              <w:t>Wellington 6140</w:t>
            </w:r>
          </w:p>
          <w:p w:rsidR="00F24ABD" w:rsidRPr="00E17487" w:rsidRDefault="00F24ABD" w:rsidP="00CA49DC">
            <w:pPr>
              <w:pStyle w:val="Table-bodytext"/>
              <w:tabs>
                <w:tab w:val="left" w:pos="425"/>
              </w:tabs>
              <w:spacing w:after="0"/>
            </w:pPr>
            <w:r w:rsidRPr="00E17487">
              <w:t>Ph:</w:t>
            </w:r>
            <w:r w:rsidRPr="00E17487">
              <w:tab/>
              <w:t>+64 4 915 7590</w:t>
            </w:r>
          </w:p>
          <w:p w:rsidR="00F24ABD" w:rsidRPr="00E17487" w:rsidRDefault="00F24ABD" w:rsidP="00CA49DC">
            <w:pPr>
              <w:pStyle w:val="Table-bodytext"/>
              <w:tabs>
                <w:tab w:val="left" w:pos="425"/>
              </w:tabs>
              <w:spacing w:after="0"/>
            </w:pPr>
            <w:r w:rsidRPr="00E17487">
              <w:t>Fax:</w:t>
            </w:r>
            <w:r w:rsidRPr="00E17487">
              <w:tab/>
              <w:t>+64 4 915 7596</w:t>
            </w:r>
          </w:p>
        </w:tc>
        <w:tc>
          <w:tcPr>
            <w:tcW w:w="2301" w:type="dxa"/>
            <w:tcBorders>
              <w:right w:val="single" w:sz="4" w:space="0" w:color="7B5E05"/>
            </w:tcBorders>
          </w:tcPr>
          <w:p w:rsidR="00F24ABD" w:rsidRPr="00E17487" w:rsidRDefault="00F24ABD" w:rsidP="00F24ABD">
            <w:pPr>
              <w:pStyle w:val="Table-bodyheading"/>
              <w:spacing w:before="113"/>
              <w:rPr>
                <w:color w:val="7B5E05"/>
              </w:rPr>
            </w:pPr>
            <w:r w:rsidRPr="00E17487">
              <w:rPr>
                <w:color w:val="7B5E05"/>
              </w:rPr>
              <w:t>Auckland</w:t>
            </w:r>
            <w:r w:rsidR="00D3574A" w:rsidRPr="00E17487">
              <w:rPr>
                <w:color w:val="7B5E05"/>
              </w:rPr>
              <w:t xml:space="preserve">    1</w:t>
            </w:r>
          </w:p>
          <w:p w:rsidR="00F24ABD" w:rsidRPr="00E17487" w:rsidRDefault="00F24ABD" w:rsidP="00F24ABD">
            <w:pPr>
              <w:pStyle w:val="Table-bodytext"/>
              <w:spacing w:after="0"/>
            </w:pPr>
            <w:r w:rsidRPr="00E17487">
              <w:t>Level 17, 3-5 Albert St</w:t>
            </w:r>
          </w:p>
          <w:p w:rsidR="00F24ABD" w:rsidRPr="00E17487" w:rsidRDefault="00F24ABD" w:rsidP="00F24ABD">
            <w:pPr>
              <w:pStyle w:val="Table-bodytext"/>
              <w:spacing w:after="0"/>
            </w:pPr>
            <w:r w:rsidRPr="00E17487">
              <w:t>PO Box 2475</w:t>
            </w:r>
          </w:p>
          <w:p w:rsidR="00F24ABD" w:rsidRPr="00E17487" w:rsidRDefault="00F24ABD" w:rsidP="00F24ABD">
            <w:pPr>
              <w:pStyle w:val="Table-bodytext"/>
              <w:spacing w:after="0"/>
            </w:pPr>
            <w:r w:rsidRPr="00E17487">
              <w:t>Auckland 1140</w:t>
            </w:r>
          </w:p>
          <w:p w:rsidR="00623FFD" w:rsidRPr="00E17487" w:rsidRDefault="00F24ABD" w:rsidP="00623FFD">
            <w:pPr>
              <w:pStyle w:val="Table-bodytext"/>
              <w:tabs>
                <w:tab w:val="left" w:pos="425"/>
              </w:tabs>
              <w:spacing w:after="0"/>
            </w:pPr>
            <w:r w:rsidRPr="00E17487">
              <w:t>Ph:</w:t>
            </w:r>
            <w:r w:rsidRPr="00E17487">
              <w:tab/>
              <w:t>+64 9 913 6240</w:t>
            </w:r>
          </w:p>
          <w:p w:rsidR="00F24ABD" w:rsidRPr="00E17487" w:rsidRDefault="00F24ABD" w:rsidP="00623FFD">
            <w:pPr>
              <w:pStyle w:val="Table-bodytext"/>
              <w:tabs>
                <w:tab w:val="left" w:pos="425"/>
              </w:tabs>
              <w:spacing w:after="0"/>
            </w:pPr>
            <w:r w:rsidRPr="00E17487">
              <w:t>Fax:</w:t>
            </w:r>
            <w:r w:rsidRPr="00E17487">
              <w:tab/>
              <w:t>+64 9 913 6241</w:t>
            </w:r>
          </w:p>
        </w:tc>
        <w:tc>
          <w:tcPr>
            <w:tcW w:w="2301" w:type="dxa"/>
            <w:tcBorders>
              <w:left w:val="single" w:sz="4" w:space="0" w:color="7B5E05"/>
            </w:tcBorders>
            <w:tcMar>
              <w:top w:w="0" w:type="dxa"/>
              <w:bottom w:w="0" w:type="dxa"/>
            </w:tcMar>
          </w:tcPr>
          <w:p w:rsidR="00F24ABD" w:rsidRPr="00E17487" w:rsidRDefault="00F24ABD" w:rsidP="00F24ABD">
            <w:pPr>
              <w:pStyle w:val="Table-bodyheading"/>
              <w:spacing w:before="113"/>
              <w:rPr>
                <w:color w:val="7B5E05"/>
              </w:rPr>
            </w:pPr>
            <w:r w:rsidRPr="00E17487">
              <w:rPr>
                <w:color w:val="7B5E05"/>
              </w:rPr>
              <w:t>Auckland</w:t>
            </w:r>
            <w:r w:rsidR="00D3574A" w:rsidRPr="00E17487">
              <w:rPr>
                <w:color w:val="7B5E05"/>
              </w:rPr>
              <w:t xml:space="preserve">    2</w:t>
            </w:r>
          </w:p>
          <w:p w:rsidR="00F24ABD" w:rsidRPr="00E17487" w:rsidRDefault="00F24ABD" w:rsidP="00F24ABD">
            <w:pPr>
              <w:pStyle w:val="Table-bodytext"/>
              <w:spacing w:after="0"/>
            </w:pPr>
            <w:r w:rsidRPr="00E17487">
              <w:t>Level 1</w:t>
            </w:r>
            <w:r w:rsidR="00D3574A" w:rsidRPr="00E17487">
              <w:t>, 441 Queen St</w:t>
            </w:r>
          </w:p>
          <w:p w:rsidR="00F24ABD" w:rsidRPr="00E17487" w:rsidRDefault="00F24ABD" w:rsidP="00F24ABD">
            <w:pPr>
              <w:pStyle w:val="Table-bodytext"/>
              <w:spacing w:after="0"/>
            </w:pPr>
            <w:r w:rsidRPr="00E17487">
              <w:t>PO Box 2475</w:t>
            </w:r>
          </w:p>
          <w:p w:rsidR="00F24ABD" w:rsidRPr="00E17487" w:rsidRDefault="00F24ABD" w:rsidP="00F24ABD">
            <w:pPr>
              <w:pStyle w:val="Table-bodytext"/>
              <w:spacing w:after="0"/>
            </w:pPr>
            <w:r w:rsidRPr="00E17487">
              <w:t>Auckland 1140</w:t>
            </w:r>
          </w:p>
          <w:p w:rsidR="00F24ABD" w:rsidRPr="00E17487" w:rsidRDefault="00F24ABD" w:rsidP="00F96105">
            <w:pPr>
              <w:pStyle w:val="Table-bodytext"/>
              <w:tabs>
                <w:tab w:val="left" w:pos="425"/>
              </w:tabs>
              <w:spacing w:after="0"/>
            </w:pPr>
            <w:r w:rsidRPr="00E17487">
              <w:t>Ph:</w:t>
            </w:r>
            <w:r w:rsidRPr="00E17487">
              <w:tab/>
            </w:r>
            <w:r w:rsidR="00623FFD" w:rsidRPr="00E17487">
              <w:t>+64 9 354 4388</w:t>
            </w:r>
          </w:p>
        </w:tc>
        <w:tc>
          <w:tcPr>
            <w:tcW w:w="114" w:type="dxa"/>
            <w:shd w:val="clear" w:color="auto" w:fill="7B5E05"/>
            <w:tcMar>
              <w:left w:w="0" w:type="dxa"/>
              <w:right w:w="0" w:type="dxa"/>
            </w:tcMar>
          </w:tcPr>
          <w:p w:rsidR="00F24ABD" w:rsidRPr="00E17487" w:rsidRDefault="00F24ABD" w:rsidP="00F24ABD">
            <w:pPr>
              <w:pStyle w:val="Table-bodytext"/>
              <w:spacing w:after="0"/>
              <w:rPr>
                <w:sz w:val="2"/>
                <w:szCs w:val="2"/>
              </w:rPr>
            </w:pPr>
          </w:p>
        </w:tc>
        <w:tc>
          <w:tcPr>
            <w:tcW w:w="2472" w:type="dxa"/>
            <w:tcBorders>
              <w:top w:val="single" w:sz="4" w:space="0" w:color="7B5E05"/>
              <w:bottom w:val="single" w:sz="4" w:space="0" w:color="7B5E05"/>
              <w:right w:val="single" w:sz="4" w:space="0" w:color="7B5E05"/>
            </w:tcBorders>
            <w:tcMar>
              <w:top w:w="0" w:type="dxa"/>
              <w:bottom w:w="0" w:type="dxa"/>
            </w:tcMar>
          </w:tcPr>
          <w:p w:rsidR="00F24ABD" w:rsidRPr="00E17487" w:rsidRDefault="00F24ABD" w:rsidP="00F24ABD">
            <w:pPr>
              <w:pStyle w:val="Table-bodyheading"/>
              <w:spacing w:before="113"/>
              <w:rPr>
                <w:color w:val="7B5E05"/>
              </w:rPr>
            </w:pPr>
            <w:r w:rsidRPr="00E17487">
              <w:rPr>
                <w:color w:val="7B5E05"/>
              </w:rPr>
              <w:t>Sydney</w:t>
            </w:r>
          </w:p>
          <w:p w:rsidR="00F24ABD" w:rsidRPr="00E17487" w:rsidRDefault="00F24ABD" w:rsidP="00F24ABD">
            <w:pPr>
              <w:pStyle w:val="Table-bodytext"/>
              <w:spacing w:after="0"/>
            </w:pPr>
            <w:r w:rsidRPr="00E17487">
              <w:t>Level 14, 68 Pitt St</w:t>
            </w:r>
          </w:p>
          <w:p w:rsidR="00F24ABD" w:rsidRPr="00E17487" w:rsidRDefault="00F24ABD" w:rsidP="00F24ABD">
            <w:pPr>
              <w:pStyle w:val="Table-bodytext"/>
              <w:spacing w:after="0"/>
            </w:pPr>
            <w:r w:rsidRPr="00E17487">
              <w:t>GPO Box 220</w:t>
            </w:r>
          </w:p>
          <w:p w:rsidR="00F24ABD" w:rsidRPr="00E17487" w:rsidRDefault="00F24ABD" w:rsidP="00F24ABD">
            <w:pPr>
              <w:pStyle w:val="Table-bodytext"/>
              <w:spacing w:after="0"/>
            </w:pPr>
            <w:r w:rsidRPr="00E17487">
              <w:t>NSW 2001</w:t>
            </w:r>
          </w:p>
          <w:p w:rsidR="00F24ABD" w:rsidRPr="00E17487" w:rsidRDefault="00F24ABD" w:rsidP="00F96105">
            <w:pPr>
              <w:pStyle w:val="Table-bodytext"/>
              <w:tabs>
                <w:tab w:val="left" w:pos="425"/>
              </w:tabs>
              <w:spacing w:after="0"/>
            </w:pPr>
            <w:r w:rsidRPr="00E17487">
              <w:t>Ph:</w:t>
            </w:r>
            <w:r w:rsidRPr="00E17487">
              <w:tab/>
              <w:t>+61 2 9234 0200</w:t>
            </w:r>
          </w:p>
          <w:p w:rsidR="00F24ABD" w:rsidRPr="00E17487" w:rsidRDefault="00F24ABD" w:rsidP="00F96105">
            <w:pPr>
              <w:pStyle w:val="Table-bodytext"/>
              <w:tabs>
                <w:tab w:val="left" w:pos="425"/>
              </w:tabs>
              <w:spacing w:after="0"/>
            </w:pPr>
            <w:r w:rsidRPr="00E17487">
              <w:t>Fax:</w:t>
            </w:r>
            <w:r w:rsidRPr="00E17487">
              <w:tab/>
              <w:t>+61 2 9234 0201</w:t>
            </w:r>
          </w:p>
        </w:tc>
        <w:tc>
          <w:tcPr>
            <w:tcW w:w="2698" w:type="dxa"/>
            <w:tcBorders>
              <w:top w:val="single" w:sz="4" w:space="0" w:color="7B5E05"/>
              <w:left w:val="single" w:sz="4" w:space="0" w:color="7B5E05"/>
              <w:bottom w:val="single" w:sz="4" w:space="0" w:color="7B5E05"/>
              <w:right w:val="single" w:sz="4" w:space="0" w:color="7B5E05"/>
            </w:tcBorders>
            <w:tcMar>
              <w:top w:w="0" w:type="dxa"/>
              <w:bottom w:w="0" w:type="dxa"/>
            </w:tcMar>
          </w:tcPr>
          <w:p w:rsidR="00F24ABD" w:rsidRPr="00E17487" w:rsidRDefault="00F24ABD" w:rsidP="00F24ABD">
            <w:pPr>
              <w:pStyle w:val="Table-bodyheading"/>
              <w:spacing w:before="113"/>
              <w:rPr>
                <w:color w:val="7B5E05"/>
              </w:rPr>
            </w:pPr>
            <w:r w:rsidRPr="00E17487">
              <w:rPr>
                <w:color w:val="7B5E05"/>
              </w:rPr>
              <w:t>Canberra</w:t>
            </w:r>
          </w:p>
          <w:p w:rsidR="00F24ABD" w:rsidRPr="00E17487" w:rsidRDefault="00F24ABD" w:rsidP="00F24ABD">
            <w:pPr>
              <w:pStyle w:val="Table-bodytext"/>
              <w:spacing w:after="0"/>
            </w:pPr>
            <w:r w:rsidRPr="00E17487">
              <w:t>Unit 3, 97 Northbourne Avenue</w:t>
            </w:r>
          </w:p>
          <w:p w:rsidR="00F24ABD" w:rsidRPr="00E17487" w:rsidRDefault="00F24ABD" w:rsidP="00F24ABD">
            <w:pPr>
              <w:pStyle w:val="Table-bodytext"/>
              <w:spacing w:after="0"/>
            </w:pPr>
            <w:r w:rsidRPr="00E17487">
              <w:t>Turner ACT 2612</w:t>
            </w:r>
          </w:p>
          <w:p w:rsidR="00F24ABD" w:rsidRPr="00E17487" w:rsidRDefault="00F24ABD" w:rsidP="00F24ABD">
            <w:pPr>
              <w:pStyle w:val="Table-bodytext"/>
              <w:spacing w:after="0"/>
            </w:pPr>
            <w:r w:rsidRPr="00E17487">
              <w:t>GPO Box 252</w:t>
            </w:r>
          </w:p>
          <w:p w:rsidR="00F24ABD" w:rsidRPr="00E17487" w:rsidRDefault="00F24ABD" w:rsidP="00F24ABD">
            <w:pPr>
              <w:pStyle w:val="Table-bodytext"/>
              <w:spacing w:after="0"/>
            </w:pPr>
            <w:r w:rsidRPr="00E17487">
              <w:t>Canberra City, ACT 2601</w:t>
            </w:r>
          </w:p>
          <w:p w:rsidR="00F24ABD" w:rsidRPr="00E17487" w:rsidRDefault="00F24ABD" w:rsidP="00F96105">
            <w:pPr>
              <w:pStyle w:val="Table-bodytext"/>
              <w:tabs>
                <w:tab w:val="left" w:pos="425"/>
              </w:tabs>
              <w:spacing w:after="0"/>
            </w:pPr>
            <w:r w:rsidRPr="00E17487">
              <w:t xml:space="preserve">Ph: </w:t>
            </w:r>
            <w:r w:rsidRPr="00E17487">
              <w:tab/>
              <w:t>+61 2 6267 2700</w:t>
            </w:r>
          </w:p>
          <w:p w:rsidR="00F24ABD" w:rsidRPr="00E17487" w:rsidRDefault="00F24ABD" w:rsidP="00F96105">
            <w:pPr>
              <w:pStyle w:val="Table-bodytext"/>
              <w:tabs>
                <w:tab w:val="left" w:pos="425"/>
              </w:tabs>
            </w:pPr>
            <w:r w:rsidRPr="00E17487">
              <w:t>Fax:</w:t>
            </w:r>
            <w:r w:rsidRPr="00E17487">
              <w:tab/>
              <w:t>+61 2 6267 2710</w:t>
            </w:r>
          </w:p>
        </w:tc>
        <w:tc>
          <w:tcPr>
            <w:tcW w:w="2430" w:type="dxa"/>
            <w:tcBorders>
              <w:left w:val="single" w:sz="4" w:space="0" w:color="7B5E05"/>
            </w:tcBorders>
            <w:tcMar>
              <w:top w:w="0" w:type="dxa"/>
              <w:bottom w:w="0" w:type="dxa"/>
            </w:tcMar>
          </w:tcPr>
          <w:p w:rsidR="00F24ABD" w:rsidRPr="00E17487" w:rsidRDefault="00F24ABD" w:rsidP="00F24ABD">
            <w:pPr>
              <w:pStyle w:val="Table-bodyheading"/>
              <w:spacing w:before="113"/>
              <w:rPr>
                <w:color w:val="7B5E05"/>
              </w:rPr>
            </w:pPr>
            <w:r w:rsidRPr="00E17487">
              <w:rPr>
                <w:color w:val="7B5E05"/>
              </w:rPr>
              <w:t>Melbourne</w:t>
            </w:r>
          </w:p>
          <w:p w:rsidR="00F24ABD" w:rsidRPr="00E17487" w:rsidRDefault="00F24ABD" w:rsidP="00F24ABD">
            <w:pPr>
              <w:pStyle w:val="Table-bodytext"/>
              <w:spacing w:after="0"/>
            </w:pPr>
            <w:r w:rsidRPr="00E17487">
              <w:t>Level 2, 65 Southbank Boulevard</w:t>
            </w:r>
          </w:p>
          <w:p w:rsidR="00F24ABD" w:rsidRPr="00E17487" w:rsidRDefault="00F24ABD" w:rsidP="00F24ABD">
            <w:pPr>
              <w:pStyle w:val="Table-bodytext"/>
              <w:spacing w:after="0"/>
            </w:pPr>
            <w:r w:rsidRPr="00E17487">
              <w:t>GPO Box 3179</w:t>
            </w:r>
          </w:p>
          <w:p w:rsidR="00F24ABD" w:rsidRPr="00E17487" w:rsidRDefault="00F24ABD" w:rsidP="00F24ABD">
            <w:pPr>
              <w:pStyle w:val="Table-bodytext"/>
              <w:spacing w:after="0"/>
            </w:pPr>
            <w:r w:rsidRPr="00E17487">
              <w:t>Melbourne, VIC 3001</w:t>
            </w:r>
          </w:p>
          <w:p w:rsidR="00F24ABD" w:rsidRPr="00E17487" w:rsidRDefault="00F24ABD" w:rsidP="00F96105">
            <w:pPr>
              <w:pStyle w:val="Table-bodytext"/>
              <w:tabs>
                <w:tab w:val="left" w:pos="425"/>
              </w:tabs>
              <w:spacing w:after="0"/>
            </w:pPr>
            <w:r w:rsidRPr="00E17487">
              <w:t>Ph:</w:t>
            </w:r>
            <w:r w:rsidRPr="00E17487">
              <w:tab/>
              <w:t>+61 3 9626 4333</w:t>
            </w:r>
          </w:p>
          <w:p w:rsidR="00F24ABD" w:rsidRPr="00E17487" w:rsidRDefault="00F24ABD" w:rsidP="00F96105">
            <w:pPr>
              <w:pStyle w:val="Table-bodytext"/>
              <w:tabs>
                <w:tab w:val="left" w:pos="425"/>
              </w:tabs>
              <w:spacing w:after="0"/>
            </w:pPr>
            <w:r w:rsidRPr="00E17487">
              <w:t>Fax:</w:t>
            </w:r>
            <w:r w:rsidRPr="00E17487">
              <w:tab/>
              <w:t>+61 3 9626 4231</w:t>
            </w:r>
          </w:p>
        </w:tc>
      </w:tr>
    </w:tbl>
    <w:p w:rsidR="005353C2" w:rsidRPr="00E17487" w:rsidRDefault="005353C2" w:rsidP="005353C2">
      <w:pPr>
        <w:pStyle w:val="Whitespace"/>
      </w:pPr>
    </w:p>
    <w:p w:rsidR="005353C2" w:rsidRPr="00E17487" w:rsidRDefault="005353C2" w:rsidP="005353C2">
      <w:pPr>
        <w:pStyle w:val="UnnumtextBodytext"/>
      </w:pPr>
      <w:r w:rsidRPr="00E17487">
        <w:t xml:space="preserve">For information on this report please contact: </w:t>
      </w:r>
    </w:p>
    <w:p w:rsidR="005353C2" w:rsidRPr="00E17487" w:rsidRDefault="005353C2" w:rsidP="00E81D14">
      <w:pPr>
        <w:pStyle w:val="UnnumtextBodytext"/>
        <w:tabs>
          <w:tab w:val="left" w:pos="2268"/>
        </w:tabs>
      </w:pPr>
      <w:r w:rsidRPr="00E17487">
        <w:t xml:space="preserve">Name: </w:t>
      </w:r>
      <w:r w:rsidRPr="00E17487">
        <w:tab/>
      </w:r>
      <w:r w:rsidR="00E2455A" w:rsidRPr="00E17487">
        <w:fldChar w:fldCharType="begin"/>
      </w:r>
      <w:r w:rsidR="00A715AA" w:rsidRPr="00E17487">
        <w:instrText xml:space="preserve"> DOCVARIABLE  rptContact </w:instrText>
      </w:r>
      <w:r w:rsidR="00E2455A" w:rsidRPr="00E17487">
        <w:fldChar w:fldCharType="separate"/>
      </w:r>
      <w:r w:rsidR="008F1633">
        <w:t>Tom Love</w:t>
      </w:r>
      <w:r w:rsidR="00E2455A" w:rsidRPr="00E17487">
        <w:fldChar w:fldCharType="end"/>
      </w:r>
    </w:p>
    <w:p w:rsidR="005353C2" w:rsidRPr="00E17487" w:rsidRDefault="005353C2" w:rsidP="00E81D14">
      <w:pPr>
        <w:pStyle w:val="UnnumtextBodytext"/>
        <w:tabs>
          <w:tab w:val="left" w:pos="2268"/>
        </w:tabs>
      </w:pPr>
      <w:r w:rsidRPr="00E17487">
        <w:t>Telephone:</w:t>
      </w:r>
      <w:r w:rsidRPr="00E17487">
        <w:tab/>
      </w:r>
      <w:r w:rsidR="00E2455A" w:rsidRPr="00E17487">
        <w:fldChar w:fldCharType="begin"/>
      </w:r>
      <w:r w:rsidR="00A715AA" w:rsidRPr="00E17487">
        <w:instrText xml:space="preserve"> DOCVARIABLE  rptTele </w:instrText>
      </w:r>
      <w:r w:rsidR="00E2455A" w:rsidRPr="00E17487">
        <w:fldChar w:fldCharType="separate"/>
      </w:r>
      <w:r w:rsidR="008F1633">
        <w:t>+64 4 915 7590</w:t>
      </w:r>
      <w:r w:rsidR="00E2455A" w:rsidRPr="00E17487">
        <w:fldChar w:fldCharType="end"/>
      </w:r>
    </w:p>
    <w:p w:rsidR="005353C2" w:rsidRPr="00E17487" w:rsidRDefault="005353C2" w:rsidP="00E81D14">
      <w:pPr>
        <w:pStyle w:val="UnnumtextBodytext"/>
        <w:tabs>
          <w:tab w:val="left" w:pos="2268"/>
        </w:tabs>
      </w:pPr>
      <w:r w:rsidRPr="00E17487">
        <w:t>Mobile:</w:t>
      </w:r>
      <w:r w:rsidRPr="00E17487">
        <w:tab/>
      </w:r>
      <w:r w:rsidR="00E2455A" w:rsidRPr="00E17487">
        <w:fldChar w:fldCharType="begin"/>
      </w:r>
      <w:r w:rsidR="00A715AA" w:rsidRPr="00E17487">
        <w:instrText xml:space="preserve"> DOCVARIABLE  rptMobile </w:instrText>
      </w:r>
      <w:r w:rsidR="00E2455A" w:rsidRPr="00E17487">
        <w:fldChar w:fldCharType="separate"/>
      </w:r>
      <w:r w:rsidR="008F1633">
        <w:t>+64 21 440 334</w:t>
      </w:r>
      <w:r w:rsidR="00E2455A" w:rsidRPr="00E17487">
        <w:fldChar w:fldCharType="end"/>
      </w:r>
    </w:p>
    <w:p w:rsidR="005353C2" w:rsidRPr="00E17487" w:rsidRDefault="005353C2" w:rsidP="00E81D14">
      <w:pPr>
        <w:pStyle w:val="UnnumtextBodytext"/>
        <w:tabs>
          <w:tab w:val="left" w:pos="2268"/>
        </w:tabs>
      </w:pPr>
      <w:r w:rsidRPr="00E17487">
        <w:t>Email:</w:t>
      </w:r>
      <w:r w:rsidRPr="00E17487">
        <w:tab/>
      </w:r>
      <w:r w:rsidR="00E2455A" w:rsidRPr="00E17487">
        <w:fldChar w:fldCharType="begin"/>
      </w:r>
      <w:r w:rsidR="00A715AA" w:rsidRPr="00E17487">
        <w:instrText xml:space="preserve"> DOCVARIABLE  rptEmail </w:instrText>
      </w:r>
      <w:r w:rsidR="00E2455A" w:rsidRPr="00E17487">
        <w:fldChar w:fldCharType="separate"/>
      </w:r>
      <w:r w:rsidR="008F1633">
        <w:t>tlove@srgexpert.com</w:t>
      </w:r>
      <w:r w:rsidR="00E2455A" w:rsidRPr="00E17487">
        <w:fldChar w:fldCharType="end"/>
      </w:r>
    </w:p>
    <w:p w:rsidR="003D1BA6" w:rsidRPr="00E17487" w:rsidRDefault="003D1BA6" w:rsidP="00567123">
      <w:pPr>
        <w:pStyle w:val="UnnumtextBodytext"/>
      </w:pPr>
    </w:p>
    <w:p w:rsidR="005353C2" w:rsidRPr="00E17487" w:rsidRDefault="005353C2" w:rsidP="00567123">
      <w:pPr>
        <w:pStyle w:val="UnnumtextBodytext"/>
        <w:sectPr w:rsidR="005353C2" w:rsidRPr="00E17487" w:rsidSect="00C621F2">
          <w:headerReference w:type="even" r:id="rId16"/>
          <w:headerReference w:type="default" r:id="rId17"/>
          <w:footerReference w:type="even" r:id="rId18"/>
          <w:footerReference w:type="default" r:id="rId19"/>
          <w:headerReference w:type="first" r:id="rId20"/>
          <w:endnotePr>
            <w:numFmt w:val="decimal"/>
          </w:endnotePr>
          <w:type w:val="oddPage"/>
          <w:pgSz w:w="16840" w:h="11907" w:orient="landscape" w:code="9"/>
          <w:pgMar w:top="1701" w:right="1134" w:bottom="1418" w:left="1134" w:header="737" w:footer="454" w:gutter="0"/>
          <w:pgNumType w:fmt="lowerRoman" w:start="1"/>
          <w:cols w:space="720"/>
          <w:docGrid w:linePitch="299"/>
        </w:sectPr>
      </w:pPr>
    </w:p>
    <w:p w:rsidR="008C4CC8" w:rsidRPr="00E17487" w:rsidRDefault="008C4CC8" w:rsidP="00E81D14">
      <w:pPr>
        <w:pStyle w:val="Heading-nontableofcontents"/>
      </w:pPr>
      <w:r w:rsidRPr="00E17487">
        <w:lastRenderedPageBreak/>
        <w:t>Contents</w:t>
      </w:r>
    </w:p>
    <w:p w:rsidR="00FC0BF8" w:rsidRPr="00E17487" w:rsidRDefault="00FC0BF8">
      <w:pPr>
        <w:pStyle w:val="TOC1"/>
        <w:sectPr w:rsidR="00FC0BF8" w:rsidRPr="00E17487" w:rsidSect="00C621F2">
          <w:footerReference w:type="default" r:id="rId21"/>
          <w:endnotePr>
            <w:numFmt w:val="decimal"/>
          </w:endnotePr>
          <w:type w:val="oddPage"/>
          <w:pgSz w:w="16840" w:h="11907" w:orient="landscape" w:code="9"/>
          <w:pgMar w:top="1701" w:right="1134" w:bottom="1418" w:left="1134" w:header="737" w:footer="454" w:gutter="0"/>
          <w:pgNumType w:fmt="lowerRoman"/>
          <w:cols w:space="720"/>
          <w:docGrid w:linePitch="299"/>
        </w:sectPr>
      </w:pPr>
    </w:p>
    <w:p w:rsidR="008F1633" w:rsidRDefault="00520219">
      <w:pPr>
        <w:pStyle w:val="TOC1"/>
        <w:rPr>
          <w:rFonts w:asciiTheme="minorHAnsi" w:eastAsiaTheme="minorEastAsia" w:hAnsiTheme="minorHAnsi" w:cstheme="minorBidi"/>
          <w:b w:val="0"/>
          <w:noProof/>
          <w:szCs w:val="22"/>
        </w:rPr>
      </w:pPr>
      <w:r w:rsidRPr="00E17487">
        <w:fldChar w:fldCharType="begin"/>
      </w:r>
      <w:r w:rsidRPr="00E17487">
        <w:instrText xml:space="preserve"> TOC \o "1-3" \h \z </w:instrText>
      </w:r>
      <w:r w:rsidRPr="00E17487">
        <w:fldChar w:fldCharType="separate"/>
      </w:r>
      <w:hyperlink w:anchor="_Toc419469090" w:history="1">
        <w:r w:rsidR="008F1633" w:rsidRPr="00A50EC6">
          <w:rPr>
            <w:rStyle w:val="Hyperlink"/>
            <w:noProof/>
          </w:rPr>
          <w:t>1.</w:t>
        </w:r>
        <w:r w:rsidR="008F1633">
          <w:rPr>
            <w:rFonts w:asciiTheme="minorHAnsi" w:eastAsiaTheme="minorEastAsia" w:hAnsiTheme="minorHAnsi" w:cstheme="minorBidi"/>
            <w:b w:val="0"/>
            <w:noProof/>
            <w:szCs w:val="22"/>
          </w:rPr>
          <w:tab/>
        </w:r>
        <w:r w:rsidR="008F1633" w:rsidRPr="00A50EC6">
          <w:rPr>
            <w:rStyle w:val="Hyperlink"/>
            <w:noProof/>
          </w:rPr>
          <w:t>Introduction</w:t>
        </w:r>
        <w:r w:rsidR="008F1633">
          <w:rPr>
            <w:noProof/>
            <w:webHidden/>
          </w:rPr>
          <w:tab/>
        </w:r>
        <w:r w:rsidR="008F1633">
          <w:rPr>
            <w:noProof/>
            <w:webHidden/>
          </w:rPr>
          <w:fldChar w:fldCharType="begin"/>
        </w:r>
        <w:r w:rsidR="008F1633">
          <w:rPr>
            <w:noProof/>
            <w:webHidden/>
          </w:rPr>
          <w:instrText xml:space="preserve"> PAGEREF _Toc419469090 \h </w:instrText>
        </w:r>
        <w:r w:rsidR="008F1633">
          <w:rPr>
            <w:noProof/>
            <w:webHidden/>
          </w:rPr>
        </w:r>
        <w:r w:rsidR="008F1633">
          <w:rPr>
            <w:noProof/>
            <w:webHidden/>
          </w:rPr>
          <w:fldChar w:fldCharType="separate"/>
        </w:r>
        <w:r w:rsidR="008F1633">
          <w:rPr>
            <w:noProof/>
            <w:webHidden/>
          </w:rPr>
          <w:t>1</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1" w:history="1">
        <w:r w:rsidR="008F1633" w:rsidRPr="00A50EC6">
          <w:rPr>
            <w:rStyle w:val="Hyperlink"/>
            <w:noProof/>
          </w:rPr>
          <w:t>1.1</w:t>
        </w:r>
        <w:r w:rsidR="008F1633">
          <w:rPr>
            <w:rFonts w:asciiTheme="minorHAnsi" w:eastAsiaTheme="minorEastAsia" w:hAnsiTheme="minorHAnsi" w:cstheme="minorBidi"/>
            <w:noProof/>
            <w:szCs w:val="22"/>
          </w:rPr>
          <w:tab/>
        </w:r>
        <w:r w:rsidR="008F1633" w:rsidRPr="00A50EC6">
          <w:rPr>
            <w:rStyle w:val="Hyperlink"/>
            <w:noProof/>
          </w:rPr>
          <w:t>Background</w:t>
        </w:r>
        <w:r w:rsidR="008F1633">
          <w:rPr>
            <w:noProof/>
            <w:webHidden/>
          </w:rPr>
          <w:tab/>
        </w:r>
        <w:r w:rsidR="008F1633">
          <w:rPr>
            <w:noProof/>
            <w:webHidden/>
          </w:rPr>
          <w:fldChar w:fldCharType="begin"/>
        </w:r>
        <w:r w:rsidR="008F1633">
          <w:rPr>
            <w:noProof/>
            <w:webHidden/>
          </w:rPr>
          <w:instrText xml:space="preserve"> PAGEREF _Toc419469091 \h </w:instrText>
        </w:r>
        <w:r w:rsidR="008F1633">
          <w:rPr>
            <w:noProof/>
            <w:webHidden/>
          </w:rPr>
        </w:r>
        <w:r w:rsidR="008F1633">
          <w:rPr>
            <w:noProof/>
            <w:webHidden/>
          </w:rPr>
          <w:fldChar w:fldCharType="separate"/>
        </w:r>
        <w:r w:rsidR="008F1633">
          <w:rPr>
            <w:noProof/>
            <w:webHidden/>
          </w:rPr>
          <w:t>1</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2" w:history="1">
        <w:r w:rsidR="008F1633" w:rsidRPr="00A50EC6">
          <w:rPr>
            <w:rStyle w:val="Hyperlink"/>
            <w:noProof/>
          </w:rPr>
          <w:t>1.2</w:t>
        </w:r>
        <w:r w:rsidR="008F1633">
          <w:rPr>
            <w:rFonts w:asciiTheme="minorHAnsi" w:eastAsiaTheme="minorEastAsia" w:hAnsiTheme="minorHAnsi" w:cstheme="minorBidi"/>
            <w:noProof/>
            <w:szCs w:val="22"/>
          </w:rPr>
          <w:tab/>
        </w:r>
        <w:r w:rsidR="008F1633" w:rsidRPr="00A50EC6">
          <w:rPr>
            <w:rStyle w:val="Hyperlink"/>
            <w:noProof/>
          </w:rPr>
          <w:t>General approach</w:t>
        </w:r>
        <w:r w:rsidR="008F1633">
          <w:rPr>
            <w:noProof/>
            <w:webHidden/>
          </w:rPr>
          <w:tab/>
        </w:r>
        <w:r w:rsidR="008F1633">
          <w:rPr>
            <w:noProof/>
            <w:webHidden/>
          </w:rPr>
          <w:fldChar w:fldCharType="begin"/>
        </w:r>
        <w:r w:rsidR="008F1633">
          <w:rPr>
            <w:noProof/>
            <w:webHidden/>
          </w:rPr>
          <w:instrText xml:space="preserve"> PAGEREF _Toc419469092 \h </w:instrText>
        </w:r>
        <w:r w:rsidR="008F1633">
          <w:rPr>
            <w:noProof/>
            <w:webHidden/>
          </w:rPr>
        </w:r>
        <w:r w:rsidR="008F1633">
          <w:rPr>
            <w:noProof/>
            <w:webHidden/>
          </w:rPr>
          <w:fldChar w:fldCharType="separate"/>
        </w:r>
        <w:r w:rsidR="008F1633">
          <w:rPr>
            <w:noProof/>
            <w:webHidden/>
          </w:rPr>
          <w:t>1</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3" w:history="1">
        <w:r w:rsidR="008F1633" w:rsidRPr="00A50EC6">
          <w:rPr>
            <w:rStyle w:val="Hyperlink"/>
            <w:noProof/>
          </w:rPr>
          <w:t>1.3</w:t>
        </w:r>
        <w:r w:rsidR="008F1633">
          <w:rPr>
            <w:rFonts w:asciiTheme="minorHAnsi" w:eastAsiaTheme="minorEastAsia" w:hAnsiTheme="minorHAnsi" w:cstheme="minorBidi"/>
            <w:noProof/>
            <w:szCs w:val="22"/>
          </w:rPr>
          <w:tab/>
        </w:r>
        <w:r w:rsidR="008F1633" w:rsidRPr="00A50EC6">
          <w:rPr>
            <w:rStyle w:val="Hyperlink"/>
            <w:noProof/>
          </w:rPr>
          <w:t>Reported Results</w:t>
        </w:r>
        <w:r w:rsidR="008F1633">
          <w:rPr>
            <w:noProof/>
            <w:webHidden/>
          </w:rPr>
          <w:tab/>
        </w:r>
        <w:r w:rsidR="008F1633">
          <w:rPr>
            <w:noProof/>
            <w:webHidden/>
          </w:rPr>
          <w:fldChar w:fldCharType="begin"/>
        </w:r>
        <w:r w:rsidR="008F1633">
          <w:rPr>
            <w:noProof/>
            <w:webHidden/>
          </w:rPr>
          <w:instrText xml:space="preserve"> PAGEREF _Toc419469093 \h </w:instrText>
        </w:r>
        <w:r w:rsidR="008F1633">
          <w:rPr>
            <w:noProof/>
            <w:webHidden/>
          </w:rPr>
        </w:r>
        <w:r w:rsidR="008F1633">
          <w:rPr>
            <w:noProof/>
            <w:webHidden/>
          </w:rPr>
          <w:fldChar w:fldCharType="separate"/>
        </w:r>
        <w:r w:rsidR="008F1633">
          <w:rPr>
            <w:noProof/>
            <w:webHidden/>
          </w:rPr>
          <w:t>2</w:t>
        </w:r>
        <w:r w:rsidR="008F1633">
          <w:rPr>
            <w:noProof/>
            <w:webHidden/>
          </w:rPr>
          <w:fldChar w:fldCharType="end"/>
        </w:r>
      </w:hyperlink>
    </w:p>
    <w:p w:rsidR="008F1633" w:rsidRDefault="001C442F">
      <w:pPr>
        <w:pStyle w:val="TOC1"/>
        <w:rPr>
          <w:rFonts w:asciiTheme="minorHAnsi" w:eastAsiaTheme="minorEastAsia" w:hAnsiTheme="minorHAnsi" w:cstheme="minorBidi"/>
          <w:b w:val="0"/>
          <w:noProof/>
          <w:szCs w:val="22"/>
        </w:rPr>
      </w:pPr>
      <w:hyperlink w:anchor="_Toc419469094" w:history="1">
        <w:r w:rsidR="008F1633" w:rsidRPr="00A50EC6">
          <w:rPr>
            <w:rStyle w:val="Hyperlink"/>
            <w:noProof/>
          </w:rPr>
          <w:t>2.</w:t>
        </w:r>
        <w:r w:rsidR="008F1633">
          <w:rPr>
            <w:rFonts w:asciiTheme="minorHAnsi" w:eastAsiaTheme="minorEastAsia" w:hAnsiTheme="minorHAnsi" w:cstheme="minorBidi"/>
            <w:b w:val="0"/>
            <w:noProof/>
            <w:szCs w:val="22"/>
          </w:rPr>
          <w:tab/>
        </w:r>
        <w:r w:rsidR="008F1633" w:rsidRPr="00A50EC6">
          <w:rPr>
            <w:rStyle w:val="Hyperlink"/>
            <w:noProof/>
          </w:rPr>
          <w:t>Scenario Analysis</w:t>
        </w:r>
        <w:r w:rsidR="008F1633">
          <w:rPr>
            <w:noProof/>
            <w:webHidden/>
          </w:rPr>
          <w:tab/>
        </w:r>
        <w:r w:rsidR="008F1633">
          <w:rPr>
            <w:noProof/>
            <w:webHidden/>
          </w:rPr>
          <w:fldChar w:fldCharType="begin"/>
        </w:r>
        <w:r w:rsidR="008F1633">
          <w:rPr>
            <w:noProof/>
            <w:webHidden/>
          </w:rPr>
          <w:instrText xml:space="preserve"> PAGEREF _Toc419469094 \h </w:instrText>
        </w:r>
        <w:r w:rsidR="008F1633">
          <w:rPr>
            <w:noProof/>
            <w:webHidden/>
          </w:rPr>
        </w:r>
        <w:r w:rsidR="008F1633">
          <w:rPr>
            <w:noProof/>
            <w:webHidden/>
          </w:rPr>
          <w:fldChar w:fldCharType="separate"/>
        </w:r>
        <w:r w:rsidR="008F1633">
          <w:rPr>
            <w:noProof/>
            <w:webHidden/>
          </w:rPr>
          <w:t>3</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5" w:history="1">
        <w:r w:rsidR="008F1633" w:rsidRPr="00A50EC6">
          <w:rPr>
            <w:rStyle w:val="Hyperlink"/>
            <w:noProof/>
          </w:rPr>
          <w:t>Scenario 1: Baseline</w:t>
        </w:r>
        <w:r w:rsidR="008F1633">
          <w:rPr>
            <w:noProof/>
            <w:webHidden/>
          </w:rPr>
          <w:tab/>
        </w:r>
        <w:r w:rsidR="008F1633">
          <w:rPr>
            <w:noProof/>
            <w:webHidden/>
          </w:rPr>
          <w:fldChar w:fldCharType="begin"/>
        </w:r>
        <w:r w:rsidR="008F1633">
          <w:rPr>
            <w:noProof/>
            <w:webHidden/>
          </w:rPr>
          <w:instrText xml:space="preserve"> PAGEREF _Toc419469095 \h </w:instrText>
        </w:r>
        <w:r w:rsidR="008F1633">
          <w:rPr>
            <w:noProof/>
            <w:webHidden/>
          </w:rPr>
        </w:r>
        <w:r w:rsidR="008F1633">
          <w:rPr>
            <w:noProof/>
            <w:webHidden/>
          </w:rPr>
          <w:fldChar w:fldCharType="separate"/>
        </w:r>
        <w:r w:rsidR="008F1633">
          <w:rPr>
            <w:noProof/>
            <w:webHidden/>
          </w:rPr>
          <w:t>3</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6" w:history="1">
        <w:r w:rsidR="008F1633" w:rsidRPr="00A50EC6">
          <w:rPr>
            <w:rStyle w:val="Hyperlink"/>
            <w:noProof/>
          </w:rPr>
          <w:t>Scenario 2: Change in substitution</w:t>
        </w:r>
        <w:r w:rsidR="008F1633">
          <w:rPr>
            <w:noProof/>
            <w:webHidden/>
          </w:rPr>
          <w:tab/>
        </w:r>
        <w:r w:rsidR="008F1633">
          <w:rPr>
            <w:noProof/>
            <w:webHidden/>
          </w:rPr>
          <w:fldChar w:fldCharType="begin"/>
        </w:r>
        <w:r w:rsidR="008F1633">
          <w:rPr>
            <w:noProof/>
            <w:webHidden/>
          </w:rPr>
          <w:instrText xml:space="preserve"> PAGEREF _Toc419469096 \h </w:instrText>
        </w:r>
        <w:r w:rsidR="008F1633">
          <w:rPr>
            <w:noProof/>
            <w:webHidden/>
          </w:rPr>
        </w:r>
        <w:r w:rsidR="008F1633">
          <w:rPr>
            <w:noProof/>
            <w:webHidden/>
          </w:rPr>
          <w:fldChar w:fldCharType="separate"/>
        </w:r>
        <w:r w:rsidR="008F1633">
          <w:rPr>
            <w:noProof/>
            <w:webHidden/>
          </w:rPr>
          <w:t>4</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7" w:history="1">
        <w:r w:rsidR="008F1633" w:rsidRPr="00A50EC6">
          <w:rPr>
            <w:rStyle w:val="Hyperlink"/>
            <w:noProof/>
          </w:rPr>
          <w:t>Scenario 3: Change in “clinical queries”</w:t>
        </w:r>
        <w:r w:rsidR="008F1633">
          <w:rPr>
            <w:noProof/>
            <w:webHidden/>
          </w:rPr>
          <w:tab/>
        </w:r>
        <w:r w:rsidR="008F1633">
          <w:rPr>
            <w:noProof/>
            <w:webHidden/>
          </w:rPr>
          <w:fldChar w:fldCharType="begin"/>
        </w:r>
        <w:r w:rsidR="008F1633">
          <w:rPr>
            <w:noProof/>
            <w:webHidden/>
          </w:rPr>
          <w:instrText xml:space="preserve"> PAGEREF _Toc419469097 \h </w:instrText>
        </w:r>
        <w:r w:rsidR="008F1633">
          <w:rPr>
            <w:noProof/>
            <w:webHidden/>
          </w:rPr>
        </w:r>
        <w:r w:rsidR="008F1633">
          <w:rPr>
            <w:noProof/>
            <w:webHidden/>
          </w:rPr>
          <w:fldChar w:fldCharType="separate"/>
        </w:r>
        <w:r w:rsidR="008F1633">
          <w:rPr>
            <w:noProof/>
            <w:webHidden/>
          </w:rPr>
          <w:t>5</w:t>
        </w:r>
        <w:r w:rsidR="008F1633">
          <w:rPr>
            <w:noProof/>
            <w:webHidden/>
          </w:rPr>
          <w:fldChar w:fldCharType="end"/>
        </w:r>
      </w:hyperlink>
    </w:p>
    <w:p w:rsidR="008F1633" w:rsidRDefault="001C442F">
      <w:pPr>
        <w:pStyle w:val="TOC2"/>
        <w:rPr>
          <w:rFonts w:asciiTheme="minorHAnsi" w:eastAsiaTheme="minorEastAsia" w:hAnsiTheme="minorHAnsi" w:cstheme="minorBidi"/>
          <w:noProof/>
          <w:szCs w:val="22"/>
        </w:rPr>
      </w:pPr>
      <w:hyperlink w:anchor="_Toc419469098" w:history="1">
        <w:r w:rsidR="008F1633" w:rsidRPr="00A50EC6">
          <w:rPr>
            <w:rStyle w:val="Hyperlink"/>
            <w:noProof/>
          </w:rPr>
          <w:t>Scenario 4: Cost-recovery models</w:t>
        </w:r>
        <w:r w:rsidR="008F1633">
          <w:rPr>
            <w:noProof/>
            <w:webHidden/>
          </w:rPr>
          <w:tab/>
        </w:r>
        <w:r w:rsidR="008F1633">
          <w:rPr>
            <w:noProof/>
            <w:webHidden/>
          </w:rPr>
          <w:fldChar w:fldCharType="begin"/>
        </w:r>
        <w:r w:rsidR="008F1633">
          <w:rPr>
            <w:noProof/>
            <w:webHidden/>
          </w:rPr>
          <w:instrText xml:space="preserve"> PAGEREF _Toc419469098 \h </w:instrText>
        </w:r>
        <w:r w:rsidR="008F1633">
          <w:rPr>
            <w:noProof/>
            <w:webHidden/>
          </w:rPr>
        </w:r>
        <w:r w:rsidR="008F1633">
          <w:rPr>
            <w:noProof/>
            <w:webHidden/>
          </w:rPr>
          <w:fldChar w:fldCharType="separate"/>
        </w:r>
        <w:r w:rsidR="008F1633">
          <w:rPr>
            <w:noProof/>
            <w:webHidden/>
          </w:rPr>
          <w:t>6</w:t>
        </w:r>
        <w:r w:rsidR="008F1633">
          <w:rPr>
            <w:noProof/>
            <w:webHidden/>
          </w:rPr>
          <w:fldChar w:fldCharType="end"/>
        </w:r>
      </w:hyperlink>
    </w:p>
    <w:p w:rsidR="008F1633" w:rsidRDefault="001C442F">
      <w:pPr>
        <w:pStyle w:val="TOC1"/>
        <w:rPr>
          <w:rFonts w:asciiTheme="minorHAnsi" w:eastAsiaTheme="minorEastAsia" w:hAnsiTheme="minorHAnsi" w:cstheme="minorBidi"/>
          <w:b w:val="0"/>
          <w:noProof/>
          <w:szCs w:val="22"/>
        </w:rPr>
      </w:pPr>
      <w:hyperlink w:anchor="_Toc419469099" w:history="1">
        <w:r w:rsidR="008F1633" w:rsidRPr="00A50EC6">
          <w:rPr>
            <w:rStyle w:val="Hyperlink"/>
            <w:noProof/>
          </w:rPr>
          <w:t>3.</w:t>
        </w:r>
        <w:r w:rsidR="008F1633">
          <w:rPr>
            <w:rFonts w:asciiTheme="minorHAnsi" w:eastAsiaTheme="minorEastAsia" w:hAnsiTheme="minorHAnsi" w:cstheme="minorBidi"/>
            <w:b w:val="0"/>
            <w:noProof/>
            <w:szCs w:val="22"/>
          </w:rPr>
          <w:tab/>
        </w:r>
        <w:r w:rsidR="008F1633" w:rsidRPr="00A50EC6">
          <w:rPr>
            <w:rStyle w:val="Hyperlink"/>
            <w:noProof/>
          </w:rPr>
          <w:t>Main points</w:t>
        </w:r>
        <w:r w:rsidR="008F1633">
          <w:rPr>
            <w:noProof/>
            <w:webHidden/>
          </w:rPr>
          <w:tab/>
        </w:r>
        <w:r w:rsidR="008F1633">
          <w:rPr>
            <w:noProof/>
            <w:webHidden/>
          </w:rPr>
          <w:fldChar w:fldCharType="begin"/>
        </w:r>
        <w:r w:rsidR="008F1633">
          <w:rPr>
            <w:noProof/>
            <w:webHidden/>
          </w:rPr>
          <w:instrText xml:space="preserve"> PAGEREF _Toc419469099 \h </w:instrText>
        </w:r>
        <w:r w:rsidR="008F1633">
          <w:rPr>
            <w:noProof/>
            <w:webHidden/>
          </w:rPr>
        </w:r>
        <w:r w:rsidR="008F1633">
          <w:rPr>
            <w:noProof/>
            <w:webHidden/>
          </w:rPr>
          <w:fldChar w:fldCharType="separate"/>
        </w:r>
        <w:r w:rsidR="008F1633">
          <w:rPr>
            <w:noProof/>
            <w:webHidden/>
          </w:rPr>
          <w:t>7</w:t>
        </w:r>
        <w:r w:rsidR="008F1633">
          <w:rPr>
            <w:noProof/>
            <w:webHidden/>
          </w:rPr>
          <w:fldChar w:fldCharType="end"/>
        </w:r>
      </w:hyperlink>
    </w:p>
    <w:p w:rsidR="00546798" w:rsidRPr="00E17487" w:rsidRDefault="00520219" w:rsidP="006245B6">
      <w:pPr>
        <w:pStyle w:val="Whitespace"/>
        <w:spacing w:after="0"/>
        <w:rPr>
          <w:sz w:val="2"/>
          <w:szCs w:val="2"/>
        </w:rPr>
      </w:pPr>
      <w:r w:rsidRPr="00E17487">
        <w:rPr>
          <w:sz w:val="22"/>
          <w:szCs w:val="24"/>
          <w:lang w:eastAsia="en-NZ"/>
        </w:rPr>
        <w:fldChar w:fldCharType="end"/>
      </w:r>
    </w:p>
    <w:p w:rsidR="00520219" w:rsidRPr="00E17487" w:rsidRDefault="00520219" w:rsidP="005A643B">
      <w:pPr>
        <w:pStyle w:val="UnnumtextBodytext"/>
        <w:spacing w:after="0" w:line="240" w:lineRule="auto"/>
        <w:rPr>
          <w:sz w:val="2"/>
        </w:rPr>
      </w:pPr>
      <w:bookmarkStart w:id="3" w:name="TOCSection"/>
    </w:p>
    <w:p w:rsidR="00520219" w:rsidRPr="00E17487" w:rsidRDefault="00520219" w:rsidP="00520219">
      <w:pPr>
        <w:pStyle w:val="UnnumtextBodytext"/>
        <w:spacing w:after="0" w:line="240" w:lineRule="auto"/>
        <w:rPr>
          <w:sz w:val="2"/>
        </w:rPr>
      </w:pPr>
    </w:p>
    <w:p w:rsidR="00520219" w:rsidRPr="00E17487" w:rsidRDefault="00520219">
      <w:pPr>
        <w:pStyle w:val="Heading-tableoftables"/>
      </w:pPr>
      <w:r w:rsidRPr="00E17487">
        <w:t>Tables</w:t>
      </w:r>
    </w:p>
    <w:p w:rsidR="008F1633" w:rsidRDefault="00520219">
      <w:pPr>
        <w:pStyle w:val="TableofFigures"/>
        <w:rPr>
          <w:rFonts w:asciiTheme="minorHAnsi" w:eastAsiaTheme="minorEastAsia" w:hAnsiTheme="minorHAnsi" w:cstheme="minorBidi"/>
          <w:noProof/>
          <w:lang w:eastAsia="en-NZ"/>
        </w:rPr>
      </w:pPr>
      <w:r w:rsidRPr="00E17487">
        <w:fldChar w:fldCharType="begin"/>
      </w:r>
      <w:r w:rsidRPr="00E17487">
        <w:instrText xml:space="preserve"> TOC \c  "Table" \h </w:instrText>
      </w:r>
      <w:r w:rsidRPr="00E17487">
        <w:fldChar w:fldCharType="separate"/>
      </w:r>
      <w:hyperlink w:anchor="_Toc419469100" w:history="1">
        <w:r w:rsidR="008F1633" w:rsidRPr="00FE3E12">
          <w:rPr>
            <w:rStyle w:val="Hyperlink"/>
            <w:noProof/>
          </w:rPr>
          <w:t>Table 1 Scenario 1 assumptions</w:t>
        </w:r>
        <w:r w:rsidR="008F1633">
          <w:rPr>
            <w:noProof/>
          </w:rPr>
          <w:tab/>
        </w:r>
        <w:r w:rsidR="008F1633">
          <w:rPr>
            <w:noProof/>
          </w:rPr>
          <w:fldChar w:fldCharType="begin"/>
        </w:r>
        <w:r w:rsidR="008F1633">
          <w:rPr>
            <w:noProof/>
          </w:rPr>
          <w:instrText xml:space="preserve"> PAGEREF _Toc419469100 \h </w:instrText>
        </w:r>
        <w:r w:rsidR="008F1633">
          <w:rPr>
            <w:noProof/>
          </w:rPr>
        </w:r>
        <w:r w:rsidR="008F1633">
          <w:rPr>
            <w:noProof/>
          </w:rPr>
          <w:fldChar w:fldCharType="separate"/>
        </w:r>
        <w:r w:rsidR="008F1633">
          <w:rPr>
            <w:noProof/>
          </w:rPr>
          <w:t>3</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1" w:history="1">
        <w:r w:rsidR="008F1633" w:rsidRPr="00FE3E12">
          <w:rPr>
            <w:rStyle w:val="Hyperlink"/>
            <w:noProof/>
          </w:rPr>
          <w:t>Table 2 Summary results</w:t>
        </w:r>
        <w:r w:rsidR="008F1633">
          <w:rPr>
            <w:noProof/>
          </w:rPr>
          <w:tab/>
        </w:r>
        <w:r w:rsidR="008F1633">
          <w:rPr>
            <w:noProof/>
          </w:rPr>
          <w:fldChar w:fldCharType="begin"/>
        </w:r>
        <w:r w:rsidR="008F1633">
          <w:rPr>
            <w:noProof/>
          </w:rPr>
          <w:instrText xml:space="preserve"> PAGEREF _Toc419469101 \h </w:instrText>
        </w:r>
        <w:r w:rsidR="008F1633">
          <w:rPr>
            <w:noProof/>
          </w:rPr>
        </w:r>
        <w:r w:rsidR="008F1633">
          <w:rPr>
            <w:noProof/>
          </w:rPr>
          <w:fldChar w:fldCharType="separate"/>
        </w:r>
        <w:r w:rsidR="008F1633">
          <w:rPr>
            <w:noProof/>
          </w:rPr>
          <w:t>3</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2" w:history="1">
        <w:r w:rsidR="008F1633" w:rsidRPr="00FE3E12">
          <w:rPr>
            <w:rStyle w:val="Hyperlink"/>
            <w:noProof/>
          </w:rPr>
          <w:t>Table 3 Scenario 2 assumptions</w:t>
        </w:r>
        <w:r w:rsidR="008F1633">
          <w:rPr>
            <w:noProof/>
          </w:rPr>
          <w:tab/>
        </w:r>
        <w:r w:rsidR="008F1633">
          <w:rPr>
            <w:noProof/>
          </w:rPr>
          <w:fldChar w:fldCharType="begin"/>
        </w:r>
        <w:r w:rsidR="008F1633">
          <w:rPr>
            <w:noProof/>
          </w:rPr>
          <w:instrText xml:space="preserve"> PAGEREF _Toc419469102 \h </w:instrText>
        </w:r>
        <w:r w:rsidR="008F1633">
          <w:rPr>
            <w:noProof/>
          </w:rPr>
        </w:r>
        <w:r w:rsidR="008F1633">
          <w:rPr>
            <w:noProof/>
          </w:rPr>
          <w:fldChar w:fldCharType="separate"/>
        </w:r>
        <w:r w:rsidR="008F1633">
          <w:rPr>
            <w:noProof/>
          </w:rPr>
          <w:t>4</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3" w:history="1">
        <w:r w:rsidR="008F1633" w:rsidRPr="00FE3E12">
          <w:rPr>
            <w:rStyle w:val="Hyperlink"/>
            <w:noProof/>
          </w:rPr>
          <w:t>Table 4 Scenario 3 assumptions</w:t>
        </w:r>
        <w:r w:rsidR="008F1633">
          <w:rPr>
            <w:noProof/>
          </w:rPr>
          <w:tab/>
        </w:r>
        <w:r w:rsidR="008F1633">
          <w:rPr>
            <w:noProof/>
          </w:rPr>
          <w:fldChar w:fldCharType="begin"/>
        </w:r>
        <w:r w:rsidR="008F1633">
          <w:rPr>
            <w:noProof/>
          </w:rPr>
          <w:instrText xml:space="preserve"> PAGEREF _Toc419469103 \h </w:instrText>
        </w:r>
        <w:r w:rsidR="008F1633">
          <w:rPr>
            <w:noProof/>
          </w:rPr>
        </w:r>
        <w:r w:rsidR="008F1633">
          <w:rPr>
            <w:noProof/>
          </w:rPr>
          <w:fldChar w:fldCharType="separate"/>
        </w:r>
        <w:r w:rsidR="008F1633">
          <w:rPr>
            <w:noProof/>
          </w:rPr>
          <w:t>5</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4" w:history="1">
        <w:r w:rsidR="008F1633" w:rsidRPr="00FE3E12">
          <w:rPr>
            <w:rStyle w:val="Hyperlink"/>
            <w:noProof/>
          </w:rPr>
          <w:t>Table 5 Scenario 4 assumptions</w:t>
        </w:r>
        <w:r w:rsidR="008F1633">
          <w:rPr>
            <w:noProof/>
          </w:rPr>
          <w:tab/>
        </w:r>
        <w:r w:rsidR="008F1633">
          <w:rPr>
            <w:noProof/>
          </w:rPr>
          <w:fldChar w:fldCharType="begin"/>
        </w:r>
        <w:r w:rsidR="008F1633">
          <w:rPr>
            <w:noProof/>
          </w:rPr>
          <w:instrText xml:space="preserve"> PAGEREF _Toc419469104 \h </w:instrText>
        </w:r>
        <w:r w:rsidR="008F1633">
          <w:rPr>
            <w:noProof/>
          </w:rPr>
        </w:r>
        <w:r w:rsidR="008F1633">
          <w:rPr>
            <w:noProof/>
          </w:rPr>
          <w:fldChar w:fldCharType="separate"/>
        </w:r>
        <w:r w:rsidR="008F1633">
          <w:rPr>
            <w:noProof/>
          </w:rPr>
          <w:t>6</w:t>
        </w:r>
        <w:r w:rsidR="008F1633">
          <w:rPr>
            <w:noProof/>
          </w:rPr>
          <w:fldChar w:fldCharType="end"/>
        </w:r>
      </w:hyperlink>
    </w:p>
    <w:p w:rsidR="00520219" w:rsidRPr="00E17487" w:rsidRDefault="00520219" w:rsidP="00520219">
      <w:pPr>
        <w:pStyle w:val="UnnumtextBodytext"/>
        <w:spacing w:after="0" w:line="240" w:lineRule="auto"/>
        <w:rPr>
          <w:sz w:val="2"/>
        </w:rPr>
      </w:pPr>
      <w:r w:rsidRPr="00E17487">
        <w:fldChar w:fldCharType="end"/>
      </w:r>
    </w:p>
    <w:p w:rsidR="00520219" w:rsidRPr="00E17487" w:rsidRDefault="00520219" w:rsidP="00520219">
      <w:pPr>
        <w:pStyle w:val="UnnumtextBodytext"/>
        <w:spacing w:after="0" w:line="240" w:lineRule="auto"/>
        <w:rPr>
          <w:sz w:val="2"/>
        </w:rPr>
      </w:pPr>
    </w:p>
    <w:p w:rsidR="00520219" w:rsidRPr="00E17487" w:rsidRDefault="00520219">
      <w:pPr>
        <w:pStyle w:val="Heading-tableoffigures"/>
      </w:pPr>
      <w:r w:rsidRPr="00E17487">
        <w:t>Figures</w:t>
      </w:r>
    </w:p>
    <w:p w:rsidR="008F1633" w:rsidRDefault="00520219">
      <w:pPr>
        <w:pStyle w:val="TableofFigures"/>
        <w:rPr>
          <w:rFonts w:asciiTheme="minorHAnsi" w:eastAsiaTheme="minorEastAsia" w:hAnsiTheme="minorHAnsi" w:cstheme="minorBidi"/>
          <w:noProof/>
          <w:lang w:eastAsia="en-NZ"/>
        </w:rPr>
      </w:pPr>
      <w:r w:rsidRPr="00E17487">
        <w:fldChar w:fldCharType="begin"/>
      </w:r>
      <w:r w:rsidRPr="00E17487">
        <w:instrText xml:space="preserve"> TOC \c  "Figure" \h </w:instrText>
      </w:r>
      <w:r w:rsidRPr="00E17487">
        <w:fldChar w:fldCharType="separate"/>
      </w:r>
      <w:hyperlink w:anchor="_Toc419469105" w:history="1">
        <w:r w:rsidR="008F1633" w:rsidRPr="00177169">
          <w:rPr>
            <w:rStyle w:val="Hyperlink"/>
            <w:noProof/>
          </w:rPr>
          <w:t>Figure 1 Change in net gains conditional on patient uptake and practice size</w:t>
        </w:r>
        <w:r w:rsidR="008F1633">
          <w:rPr>
            <w:noProof/>
          </w:rPr>
          <w:tab/>
        </w:r>
        <w:r w:rsidR="008F1633">
          <w:rPr>
            <w:noProof/>
          </w:rPr>
          <w:fldChar w:fldCharType="begin"/>
        </w:r>
        <w:r w:rsidR="008F1633">
          <w:rPr>
            <w:noProof/>
          </w:rPr>
          <w:instrText xml:space="preserve"> PAGEREF _Toc419469105 \h </w:instrText>
        </w:r>
        <w:r w:rsidR="008F1633">
          <w:rPr>
            <w:noProof/>
          </w:rPr>
        </w:r>
        <w:r w:rsidR="008F1633">
          <w:rPr>
            <w:noProof/>
          </w:rPr>
          <w:fldChar w:fldCharType="separate"/>
        </w:r>
        <w:r w:rsidR="008F1633">
          <w:rPr>
            <w:noProof/>
          </w:rPr>
          <w:t>3</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6" w:history="1">
        <w:r w:rsidR="008F1633" w:rsidRPr="00177169">
          <w:rPr>
            <w:rStyle w:val="Hyperlink"/>
            <w:noProof/>
          </w:rPr>
          <w:t>Figure 2 Change in GP FTE conditional on the rate of substitution</w:t>
        </w:r>
        <w:r w:rsidR="008F1633">
          <w:rPr>
            <w:noProof/>
          </w:rPr>
          <w:tab/>
        </w:r>
        <w:r w:rsidR="008F1633">
          <w:rPr>
            <w:noProof/>
          </w:rPr>
          <w:fldChar w:fldCharType="begin"/>
        </w:r>
        <w:r w:rsidR="008F1633">
          <w:rPr>
            <w:noProof/>
          </w:rPr>
          <w:instrText xml:space="preserve"> PAGEREF _Toc419469106 \h </w:instrText>
        </w:r>
        <w:r w:rsidR="008F1633">
          <w:rPr>
            <w:noProof/>
          </w:rPr>
        </w:r>
        <w:r w:rsidR="008F1633">
          <w:rPr>
            <w:noProof/>
          </w:rPr>
          <w:fldChar w:fldCharType="separate"/>
        </w:r>
        <w:r w:rsidR="008F1633">
          <w:rPr>
            <w:noProof/>
          </w:rPr>
          <w:t>4</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7" w:history="1">
        <w:r w:rsidR="008F1633" w:rsidRPr="00177169">
          <w:rPr>
            <w:rStyle w:val="Hyperlink"/>
            <w:noProof/>
          </w:rPr>
          <w:t>Figure 3 Change in net gains conditional on the rate of substitution</w:t>
        </w:r>
        <w:r w:rsidR="008F1633">
          <w:rPr>
            <w:noProof/>
          </w:rPr>
          <w:tab/>
        </w:r>
        <w:r w:rsidR="008F1633">
          <w:rPr>
            <w:noProof/>
          </w:rPr>
          <w:fldChar w:fldCharType="begin"/>
        </w:r>
        <w:r w:rsidR="008F1633">
          <w:rPr>
            <w:noProof/>
          </w:rPr>
          <w:instrText xml:space="preserve"> PAGEREF _Toc419469107 \h </w:instrText>
        </w:r>
        <w:r w:rsidR="008F1633">
          <w:rPr>
            <w:noProof/>
          </w:rPr>
        </w:r>
        <w:r w:rsidR="008F1633">
          <w:rPr>
            <w:noProof/>
          </w:rPr>
          <w:fldChar w:fldCharType="separate"/>
        </w:r>
        <w:r w:rsidR="008F1633">
          <w:rPr>
            <w:noProof/>
          </w:rPr>
          <w:t>4</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8" w:history="1">
        <w:r w:rsidR="008F1633" w:rsidRPr="00177169">
          <w:rPr>
            <w:rStyle w:val="Hyperlink"/>
            <w:noProof/>
          </w:rPr>
          <w:t>Figure 4 Change in GP FTE conditional on the number of clinical queries per patient</w:t>
        </w:r>
        <w:r w:rsidR="008F1633">
          <w:rPr>
            <w:noProof/>
          </w:rPr>
          <w:tab/>
        </w:r>
        <w:r w:rsidR="008F1633">
          <w:rPr>
            <w:noProof/>
          </w:rPr>
          <w:fldChar w:fldCharType="begin"/>
        </w:r>
        <w:r w:rsidR="008F1633">
          <w:rPr>
            <w:noProof/>
          </w:rPr>
          <w:instrText xml:space="preserve"> PAGEREF _Toc419469108 \h </w:instrText>
        </w:r>
        <w:r w:rsidR="008F1633">
          <w:rPr>
            <w:noProof/>
          </w:rPr>
        </w:r>
        <w:r w:rsidR="008F1633">
          <w:rPr>
            <w:noProof/>
          </w:rPr>
          <w:fldChar w:fldCharType="separate"/>
        </w:r>
        <w:r w:rsidR="008F1633">
          <w:rPr>
            <w:noProof/>
          </w:rPr>
          <w:t>5</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09" w:history="1">
        <w:r w:rsidR="008F1633" w:rsidRPr="00177169">
          <w:rPr>
            <w:rStyle w:val="Hyperlink"/>
            <w:noProof/>
          </w:rPr>
          <w:t>Figure 5 Change in net gains conditional on the number of clinical queries per patient</w:t>
        </w:r>
        <w:r w:rsidR="008F1633">
          <w:rPr>
            <w:noProof/>
          </w:rPr>
          <w:tab/>
        </w:r>
        <w:r w:rsidR="008F1633">
          <w:rPr>
            <w:noProof/>
          </w:rPr>
          <w:fldChar w:fldCharType="begin"/>
        </w:r>
        <w:r w:rsidR="008F1633">
          <w:rPr>
            <w:noProof/>
          </w:rPr>
          <w:instrText xml:space="preserve"> PAGEREF _Toc419469109 \h </w:instrText>
        </w:r>
        <w:r w:rsidR="008F1633">
          <w:rPr>
            <w:noProof/>
          </w:rPr>
        </w:r>
        <w:r w:rsidR="008F1633">
          <w:rPr>
            <w:noProof/>
          </w:rPr>
          <w:fldChar w:fldCharType="separate"/>
        </w:r>
        <w:r w:rsidR="008F1633">
          <w:rPr>
            <w:noProof/>
          </w:rPr>
          <w:t>5</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10" w:history="1">
        <w:r w:rsidR="008F1633" w:rsidRPr="00177169">
          <w:rPr>
            <w:rStyle w:val="Hyperlink"/>
            <w:noProof/>
          </w:rPr>
          <w:t>Figure 6 Financial outcomes under a subscription fee model</w:t>
        </w:r>
        <w:r w:rsidR="008F1633">
          <w:rPr>
            <w:noProof/>
          </w:rPr>
          <w:tab/>
        </w:r>
        <w:r w:rsidR="008F1633">
          <w:rPr>
            <w:noProof/>
          </w:rPr>
          <w:fldChar w:fldCharType="begin"/>
        </w:r>
        <w:r w:rsidR="008F1633">
          <w:rPr>
            <w:noProof/>
          </w:rPr>
          <w:instrText xml:space="preserve"> PAGEREF _Toc419469110 \h </w:instrText>
        </w:r>
        <w:r w:rsidR="008F1633">
          <w:rPr>
            <w:noProof/>
          </w:rPr>
        </w:r>
        <w:r w:rsidR="008F1633">
          <w:rPr>
            <w:noProof/>
          </w:rPr>
          <w:fldChar w:fldCharType="separate"/>
        </w:r>
        <w:r w:rsidR="008F1633">
          <w:rPr>
            <w:noProof/>
          </w:rPr>
          <w:t>6</w:t>
        </w:r>
        <w:r w:rsidR="008F1633">
          <w:rPr>
            <w:noProof/>
          </w:rPr>
          <w:fldChar w:fldCharType="end"/>
        </w:r>
      </w:hyperlink>
    </w:p>
    <w:p w:rsidR="008F1633" w:rsidRDefault="001C442F">
      <w:pPr>
        <w:pStyle w:val="TableofFigures"/>
        <w:rPr>
          <w:rFonts w:asciiTheme="minorHAnsi" w:eastAsiaTheme="minorEastAsia" w:hAnsiTheme="minorHAnsi" w:cstheme="minorBidi"/>
          <w:noProof/>
          <w:lang w:eastAsia="en-NZ"/>
        </w:rPr>
      </w:pPr>
      <w:hyperlink w:anchor="_Toc419469111" w:history="1">
        <w:r w:rsidR="008F1633" w:rsidRPr="00177169">
          <w:rPr>
            <w:rStyle w:val="Hyperlink"/>
            <w:noProof/>
          </w:rPr>
          <w:t>Figure 7 Financial outcomes under a pay-as-you-go model</w:t>
        </w:r>
        <w:r w:rsidR="008F1633">
          <w:rPr>
            <w:noProof/>
          </w:rPr>
          <w:tab/>
        </w:r>
        <w:r w:rsidR="008F1633">
          <w:rPr>
            <w:noProof/>
          </w:rPr>
          <w:fldChar w:fldCharType="begin"/>
        </w:r>
        <w:r w:rsidR="008F1633">
          <w:rPr>
            <w:noProof/>
          </w:rPr>
          <w:instrText xml:space="preserve"> PAGEREF _Toc419469111 \h </w:instrText>
        </w:r>
        <w:r w:rsidR="008F1633">
          <w:rPr>
            <w:noProof/>
          </w:rPr>
        </w:r>
        <w:r w:rsidR="008F1633">
          <w:rPr>
            <w:noProof/>
          </w:rPr>
          <w:fldChar w:fldCharType="separate"/>
        </w:r>
        <w:r w:rsidR="008F1633">
          <w:rPr>
            <w:noProof/>
          </w:rPr>
          <w:t>6</w:t>
        </w:r>
        <w:r w:rsidR="008F1633">
          <w:rPr>
            <w:noProof/>
          </w:rPr>
          <w:fldChar w:fldCharType="end"/>
        </w:r>
      </w:hyperlink>
    </w:p>
    <w:p w:rsidR="00520219" w:rsidRPr="00E17487" w:rsidRDefault="00520219">
      <w:pPr>
        <w:pStyle w:val="UnnumtextBodytext"/>
      </w:pPr>
      <w:r w:rsidRPr="00E17487">
        <w:fldChar w:fldCharType="end"/>
      </w:r>
    </w:p>
    <w:p w:rsidR="00520219" w:rsidRPr="00E17487" w:rsidRDefault="00520219" w:rsidP="00520219">
      <w:pPr>
        <w:pStyle w:val="UnnumtextBodytext"/>
        <w:spacing w:after="0" w:line="240" w:lineRule="auto"/>
        <w:rPr>
          <w:sz w:val="2"/>
        </w:rPr>
      </w:pPr>
    </w:p>
    <w:bookmarkEnd w:id="3"/>
    <w:p w:rsidR="0083258B" w:rsidRPr="00E17487" w:rsidRDefault="0083258B" w:rsidP="00520219">
      <w:pPr>
        <w:pStyle w:val="UnnumtextBodytext"/>
        <w:spacing w:after="0" w:line="240" w:lineRule="auto"/>
        <w:rPr>
          <w:sz w:val="2"/>
        </w:rPr>
      </w:pPr>
    </w:p>
    <w:p w:rsidR="00CD22A5" w:rsidRPr="00E17487" w:rsidRDefault="00CD22A5" w:rsidP="00567123">
      <w:pPr>
        <w:pStyle w:val="UnnumtextBodytext"/>
        <w:sectPr w:rsidR="00CD22A5" w:rsidRPr="00E17487" w:rsidSect="006E3FC7">
          <w:endnotePr>
            <w:numFmt w:val="decimal"/>
          </w:endnotePr>
          <w:type w:val="continuous"/>
          <w:pgSz w:w="16840" w:h="11907" w:orient="landscape" w:code="9"/>
          <w:pgMar w:top="1701" w:right="1134" w:bottom="1418" w:left="1134" w:header="737" w:footer="454" w:gutter="0"/>
          <w:pgNumType w:fmt="lowerRoman"/>
          <w:cols w:num="2" w:space="567"/>
          <w:docGrid w:linePitch="299"/>
        </w:sectPr>
      </w:pPr>
    </w:p>
    <w:p w:rsidR="00242EA5" w:rsidRPr="00E17487" w:rsidRDefault="00242EA5" w:rsidP="001E3AB9">
      <w:pPr>
        <w:pStyle w:val="UnnumtextBodytext"/>
        <w:sectPr w:rsidR="00242EA5" w:rsidRPr="00E17487" w:rsidSect="006E3FC7">
          <w:endnotePr>
            <w:numFmt w:val="decimal"/>
          </w:endnotePr>
          <w:type w:val="continuous"/>
          <w:pgSz w:w="16840" w:h="11907" w:orient="landscape" w:code="9"/>
          <w:pgMar w:top="1701" w:right="1134" w:bottom="1418" w:left="1134" w:header="737" w:footer="454" w:gutter="0"/>
          <w:pgNumType w:fmt="lowerRoman"/>
          <w:cols w:num="2" w:space="567"/>
          <w:docGrid w:linePitch="299"/>
        </w:sectPr>
      </w:pPr>
    </w:p>
    <w:p w:rsidR="0075501F" w:rsidRPr="00E17487" w:rsidRDefault="0075501F" w:rsidP="001E3AB9">
      <w:pPr>
        <w:pStyle w:val="ListStartNumberedheadings"/>
        <w:framePr w:wrap="around"/>
      </w:pPr>
    </w:p>
    <w:p w:rsidR="00A82796" w:rsidRPr="00E17487" w:rsidRDefault="001E3354" w:rsidP="004415A0">
      <w:pPr>
        <w:pStyle w:val="Heading1"/>
        <w:spacing w:after="160"/>
      </w:pPr>
      <w:bookmarkStart w:id="4" w:name="_Toc419469090"/>
      <w:r w:rsidRPr="00E17487">
        <w:t>Introduction</w:t>
      </w:r>
      <w:bookmarkEnd w:id="4"/>
    </w:p>
    <w:p w:rsidR="00626844" w:rsidRPr="00E17487" w:rsidRDefault="00626844" w:rsidP="004415A0">
      <w:pPr>
        <w:pStyle w:val="Whitespace"/>
        <w:spacing w:after="0"/>
      </w:pPr>
    </w:p>
    <w:p w:rsidR="003D1BA6" w:rsidRPr="00E17487" w:rsidRDefault="003D1BA6" w:rsidP="001E3AB9">
      <w:pPr>
        <w:pStyle w:val="UnnumtextBodytext"/>
        <w:sectPr w:rsidR="003D1BA6" w:rsidRPr="00E17487" w:rsidSect="00C621F2">
          <w:footerReference w:type="default" r:id="rId22"/>
          <w:endnotePr>
            <w:numFmt w:val="decimal"/>
          </w:endnotePr>
          <w:type w:val="oddPage"/>
          <w:pgSz w:w="16840" w:h="11907" w:orient="landscape" w:code="9"/>
          <w:pgMar w:top="1701" w:right="1134" w:bottom="1418" w:left="1134" w:header="737" w:footer="454" w:gutter="0"/>
          <w:pgNumType w:start="1"/>
          <w:cols w:space="720"/>
          <w:docGrid w:linePitch="299"/>
        </w:sectPr>
      </w:pPr>
    </w:p>
    <w:p w:rsidR="001E3354" w:rsidRPr="00E17487" w:rsidRDefault="001E3354" w:rsidP="001E3354">
      <w:pPr>
        <w:pStyle w:val="Heading2"/>
      </w:pPr>
      <w:bookmarkStart w:id="5" w:name="_Toc419469091"/>
      <w:r w:rsidRPr="00E17487">
        <w:t>Background</w:t>
      </w:r>
      <w:bookmarkEnd w:id="5"/>
    </w:p>
    <w:p w:rsidR="001E3354" w:rsidRPr="00E17487" w:rsidRDefault="001E3354" w:rsidP="001E3354">
      <w:pPr>
        <w:pStyle w:val="UnnumtextBodytext"/>
      </w:pPr>
      <w:r w:rsidRPr="00E17487">
        <w:t xml:space="preserve">Patients First is working with the National Health IT board to develop support for practices to make effective use of patient portals. As one component of this work, Sapere Research Group was commissioned by </w:t>
      </w:r>
      <w:r w:rsidR="005F49BD">
        <w:t xml:space="preserve">Patients First on behalf of </w:t>
      </w:r>
      <w:r w:rsidRPr="00E17487">
        <w:t>the National Health IT Board to model the impact of patient portal implementation on general practice</w:t>
      </w:r>
      <w:r w:rsidR="00087B2C">
        <w:t>s</w:t>
      </w:r>
      <w:r w:rsidRPr="00E17487">
        <w:t xml:space="preserve"> costs and revenues. </w:t>
      </w:r>
    </w:p>
    <w:p w:rsidR="001E3354" w:rsidRPr="00E17487" w:rsidRDefault="001E3354" w:rsidP="001E3354">
      <w:pPr>
        <w:pStyle w:val="UnnumtextBodytext"/>
      </w:pPr>
      <w:r w:rsidRPr="00E17487">
        <w:t xml:space="preserve">A patient portal is a secure online tool for patients to access their health information and interact with their general practice. Patient portals have the potential to streamline a number of clinical processes and improve practice communication with stakeholders. </w:t>
      </w:r>
    </w:p>
    <w:p w:rsidR="001E3354" w:rsidRPr="00E17487" w:rsidRDefault="001E3354" w:rsidP="001E3354">
      <w:pPr>
        <w:pStyle w:val="UnnumtextBodytext"/>
      </w:pPr>
      <w:r w:rsidRPr="00E17487">
        <w:t xml:space="preserve">However, some stakeholders in the primary care sector are unclear about the financial and workload impacts of implementing portals. </w:t>
      </w:r>
    </w:p>
    <w:p w:rsidR="001E3354" w:rsidRPr="00E17487" w:rsidRDefault="001E3354" w:rsidP="001E3354">
      <w:pPr>
        <w:pStyle w:val="UnnumtextBodytext"/>
      </w:pPr>
      <w:r w:rsidRPr="00E17487">
        <w:t>The purpose of the modelling is to better understand how patient portals affect general practices by identifying where benefits can be realised and quantifying the amount. The results from the modelling are intended to support a more informed discussion and give general practices guidance about effective options for implementation.</w:t>
      </w:r>
    </w:p>
    <w:p w:rsidR="008D0622" w:rsidRDefault="00394127" w:rsidP="00E74C2E">
      <w:pPr>
        <w:pStyle w:val="UnnumtextBodytext"/>
      </w:pPr>
      <w:r>
        <w:t>This paper comple</w:t>
      </w:r>
      <w:r w:rsidR="00D97C35" w:rsidRPr="00E17487">
        <w:t xml:space="preserve">ments a broader report </w:t>
      </w:r>
      <w:r w:rsidR="00FF11DB" w:rsidRPr="00E17487">
        <w:t>which provides</w:t>
      </w:r>
      <w:r w:rsidR="00D97C35" w:rsidRPr="00E17487">
        <w:t xml:space="preserve"> the details </w:t>
      </w:r>
      <w:r w:rsidR="00D1055D" w:rsidRPr="00E17487">
        <w:t>about</w:t>
      </w:r>
      <w:r w:rsidR="00D97C35" w:rsidRPr="00E17487">
        <w:t xml:space="preserve"> the process </w:t>
      </w:r>
      <w:r w:rsidR="00D1055D" w:rsidRPr="00E17487">
        <w:t xml:space="preserve">and results of the modelling. The focus is firmly on the modelled results </w:t>
      </w:r>
      <w:r w:rsidR="005141B7" w:rsidRPr="00E17487">
        <w:t>rather than</w:t>
      </w:r>
      <w:r w:rsidR="00D1055D" w:rsidRPr="00E17487">
        <w:t xml:space="preserve"> the process </w:t>
      </w:r>
      <w:r w:rsidR="005141B7" w:rsidRPr="00E17487">
        <w:t xml:space="preserve">followed </w:t>
      </w:r>
      <w:r w:rsidR="00400AA1" w:rsidRPr="00E17487">
        <w:t>to derive</w:t>
      </w:r>
      <w:r w:rsidR="00D1055D" w:rsidRPr="00E17487">
        <w:t xml:space="preserve"> the results</w:t>
      </w:r>
      <w:r w:rsidR="005141B7" w:rsidRPr="00E17487">
        <w:t>.</w:t>
      </w:r>
      <w:r w:rsidR="00D1055D" w:rsidRPr="00E17487">
        <w:t xml:space="preserve"> </w:t>
      </w:r>
      <w:r w:rsidR="005141B7" w:rsidRPr="00E17487">
        <w:t xml:space="preserve">It </w:t>
      </w:r>
      <w:r w:rsidR="00FF11DB" w:rsidRPr="00E17487">
        <w:t>is intended this report provides</w:t>
      </w:r>
      <w:r w:rsidR="005141B7" w:rsidRPr="00E17487">
        <w:t xml:space="preserve"> an overview of the results that is meaningful to a wider audience.</w:t>
      </w:r>
    </w:p>
    <w:p w:rsidR="003766FD" w:rsidRPr="00E17487" w:rsidRDefault="003766FD" w:rsidP="00E74C2E">
      <w:pPr>
        <w:pStyle w:val="UnnumtextBodytext"/>
      </w:pPr>
    </w:p>
    <w:p w:rsidR="001E3354" w:rsidRPr="00E17487" w:rsidRDefault="00D1055D" w:rsidP="001E3354">
      <w:pPr>
        <w:pStyle w:val="Heading2"/>
      </w:pPr>
      <w:bookmarkStart w:id="6" w:name="_Toc419469092"/>
      <w:r w:rsidRPr="00E17487">
        <w:t>General a</w:t>
      </w:r>
      <w:r w:rsidR="001E3354" w:rsidRPr="00E17487">
        <w:t>pproach</w:t>
      </w:r>
      <w:bookmarkEnd w:id="6"/>
    </w:p>
    <w:p w:rsidR="001E3354" w:rsidRPr="00E17487" w:rsidRDefault="001E3354" w:rsidP="001E3354">
      <w:r w:rsidRPr="00E17487">
        <w:t>Our analysis of portal implementation involved three steps:</w:t>
      </w:r>
    </w:p>
    <w:p w:rsidR="001E3354" w:rsidRPr="00E17487" w:rsidRDefault="001E3354" w:rsidP="001E3354">
      <w:pPr>
        <w:pStyle w:val="UnnumtextBullet1"/>
      </w:pPr>
      <w:r w:rsidRPr="00E17487">
        <w:t>step one: background research</w:t>
      </w:r>
    </w:p>
    <w:p w:rsidR="001E3354" w:rsidRPr="00E17487" w:rsidRDefault="001E3354" w:rsidP="001E3354">
      <w:pPr>
        <w:pStyle w:val="UnnumtextBullet1"/>
      </w:pPr>
      <w:r w:rsidRPr="00E17487">
        <w:t>step two: design and assumptions</w:t>
      </w:r>
    </w:p>
    <w:p w:rsidR="001E3354" w:rsidRPr="00E17487" w:rsidRDefault="001E3354" w:rsidP="001E3354">
      <w:pPr>
        <w:pStyle w:val="UnnumtextBullet1"/>
        <w:spacing w:after="170"/>
      </w:pPr>
      <w:r w:rsidRPr="00E17487">
        <w:t xml:space="preserve">step three: resource modelling  </w:t>
      </w:r>
    </w:p>
    <w:p w:rsidR="001E3354" w:rsidRPr="00E17487" w:rsidRDefault="001E3354" w:rsidP="001E3354">
      <w:pPr>
        <w:pStyle w:val="UnnumtextBullet1"/>
        <w:numPr>
          <w:ilvl w:val="0"/>
          <w:numId w:val="0"/>
        </w:numPr>
        <w:spacing w:after="170"/>
      </w:pPr>
      <w:r w:rsidRPr="00E17487">
        <w:t>We interviewed key stakeholders to identify enablers and barriers to portal implementation and understand how implementation played out in practice. The interviews focussed on:</w:t>
      </w:r>
    </w:p>
    <w:p w:rsidR="001E3354" w:rsidRPr="00E17487" w:rsidRDefault="001E3354" w:rsidP="001E3354">
      <w:pPr>
        <w:pStyle w:val="UnnumtextBullet1"/>
        <w:spacing w:after="170"/>
      </w:pPr>
      <w:r w:rsidRPr="00E17487">
        <w:t>practices experience setting up the patient portal</w:t>
      </w:r>
    </w:p>
    <w:p w:rsidR="001E3354" w:rsidRPr="00E17487" w:rsidRDefault="001E3354" w:rsidP="001E3354">
      <w:pPr>
        <w:pStyle w:val="UnnumtextBullet1"/>
        <w:spacing w:after="170"/>
      </w:pPr>
      <w:r w:rsidRPr="00E17487">
        <w:t>how practices use the portal</w:t>
      </w:r>
    </w:p>
    <w:p w:rsidR="001E3354" w:rsidRPr="00E17487" w:rsidRDefault="001E3354" w:rsidP="001E3354">
      <w:pPr>
        <w:pStyle w:val="UnnumtextBullet1"/>
        <w:spacing w:after="170"/>
      </w:pPr>
      <w:r w:rsidRPr="00E17487">
        <w:t xml:space="preserve">the impact on practice workload </w:t>
      </w:r>
    </w:p>
    <w:p w:rsidR="001E3354" w:rsidRPr="00E17487" w:rsidRDefault="001E3354" w:rsidP="001E3354">
      <w:pPr>
        <w:pStyle w:val="UnnumtextBullet1"/>
        <w:spacing w:after="170"/>
      </w:pPr>
      <w:r w:rsidRPr="00E17487">
        <w:t>whether practices charge for the service</w:t>
      </w:r>
    </w:p>
    <w:p w:rsidR="001E3354" w:rsidRPr="00E17487" w:rsidRDefault="001E3354" w:rsidP="001E3354">
      <w:pPr>
        <w:pStyle w:val="UnnumtextBullet1"/>
        <w:numPr>
          <w:ilvl w:val="0"/>
          <w:numId w:val="0"/>
        </w:numPr>
        <w:spacing w:after="170"/>
      </w:pPr>
      <w:r w:rsidRPr="00E17487">
        <w:t>From the interviews several key themes emerged which helped guide the assumptions in the design stage of the model</w:t>
      </w:r>
      <w:r w:rsidR="005F49BD">
        <w:t>.</w:t>
      </w:r>
    </w:p>
    <w:p w:rsidR="001E3354" w:rsidRPr="00E17487" w:rsidRDefault="001E3354" w:rsidP="001E3354">
      <w:pPr>
        <w:pStyle w:val="UnnumtextBullet1"/>
        <w:numPr>
          <w:ilvl w:val="0"/>
          <w:numId w:val="0"/>
        </w:numPr>
        <w:spacing w:after="170"/>
      </w:pPr>
      <w:r w:rsidRPr="00E17487">
        <w:t xml:space="preserve">The design parameters were established based on the information gathered in the background research and supplemented by data drawn from previous Sapere Research Group work analysing nursing and medical workload and revenue patterns. The established parameters were transposed into a practice financial model developed by Sapere which has been applied extensively across Integrated Family Health Centre projects and formed the core of the resource modelling. </w:t>
      </w:r>
    </w:p>
    <w:p w:rsidR="00D97C35" w:rsidRPr="00E17487" w:rsidRDefault="001E3354" w:rsidP="00D97C35">
      <w:pPr>
        <w:pStyle w:val="UnnumtextBullet1"/>
        <w:numPr>
          <w:ilvl w:val="0"/>
          <w:numId w:val="0"/>
        </w:numPr>
        <w:spacing w:after="170"/>
      </w:pPr>
      <w:r w:rsidRPr="00E17487">
        <w:t>The resource modelling examined ‘what if’ scenarios of the financial consequences for practices based on the design parameters which emerged from step one and step two. This involved exploring the effect of various par</w:t>
      </w:r>
      <w:r w:rsidR="003766FD">
        <w:t>ameters such as patient uptake</w:t>
      </w:r>
      <w:r w:rsidR="00C26752">
        <w:t>, number of c</w:t>
      </w:r>
      <w:r w:rsidRPr="00E17487">
        <w:t>linical queries per patient and substitution of GP workload on the release of resources following portal implementation. Multiple parameters were then manipulated at once to observe more dynamic scenarios. This included modelling the responsiveness of patient de</w:t>
      </w:r>
      <w:r w:rsidR="00D97C35" w:rsidRPr="00E17487">
        <w:t xml:space="preserve">mand to imposed financial </w:t>
      </w:r>
      <w:r w:rsidR="003766FD">
        <w:t>constraints.</w:t>
      </w:r>
    </w:p>
    <w:p w:rsidR="00361F5D" w:rsidRPr="00E17487" w:rsidRDefault="00361F5D" w:rsidP="00361F5D">
      <w:pPr>
        <w:pStyle w:val="Heading2"/>
      </w:pPr>
      <w:bookmarkStart w:id="7" w:name="_Toc419469093"/>
      <w:r w:rsidRPr="00E17487">
        <w:t>Reported Results</w:t>
      </w:r>
      <w:bookmarkEnd w:id="7"/>
    </w:p>
    <w:p w:rsidR="00513D54" w:rsidRPr="00E17487" w:rsidRDefault="00513D54" w:rsidP="00361F5D">
      <w:pPr>
        <w:pStyle w:val="UnnumtextBodytext"/>
      </w:pPr>
      <w:r w:rsidRPr="00E17487">
        <w:t>The finalised design parameters for the resource modelling included:</w:t>
      </w:r>
    </w:p>
    <w:p w:rsidR="00513D54" w:rsidRPr="00E17487" w:rsidRDefault="00513D54" w:rsidP="00513D54">
      <w:pPr>
        <w:pStyle w:val="UnnumtextBullet1"/>
      </w:pPr>
      <w:r w:rsidRPr="00E17487">
        <w:t>design parameters about which there was relatively little uncertainty and formed the core of the model</w:t>
      </w:r>
    </w:p>
    <w:p w:rsidR="00513D54" w:rsidRPr="00E17487" w:rsidRDefault="00513D54" w:rsidP="000664C5">
      <w:pPr>
        <w:pStyle w:val="UnnumtextBullet1"/>
        <w:spacing w:after="170"/>
      </w:pPr>
      <w:r w:rsidRPr="00E17487">
        <w:t xml:space="preserve">design </w:t>
      </w:r>
      <w:r w:rsidR="000664C5" w:rsidRPr="00E17487">
        <w:t>parameters which there was uncertainty and were subject to more detailed exploration with different scenarios during the modelling phase</w:t>
      </w:r>
    </w:p>
    <w:p w:rsidR="00E74C2E" w:rsidRPr="00E17487" w:rsidRDefault="000664C5" w:rsidP="000664C5">
      <w:pPr>
        <w:pStyle w:val="UnnumtextBodytext"/>
      </w:pPr>
      <w:r w:rsidRPr="00E17487">
        <w:t xml:space="preserve">This document </w:t>
      </w:r>
      <w:r w:rsidR="004809CD" w:rsidRPr="00E17487">
        <w:t>highlights</w:t>
      </w:r>
      <w:r w:rsidRPr="00E17487">
        <w:t xml:space="preserve"> the effect of the latter design parameters</w:t>
      </w:r>
      <w:r w:rsidR="00E74C2E" w:rsidRPr="00E17487">
        <w:t xml:space="preserve"> on the outcomes for general practices</w:t>
      </w:r>
      <w:r w:rsidRPr="00E17487">
        <w:t>;</w:t>
      </w:r>
      <w:r w:rsidR="00D50A37">
        <w:t xml:space="preserve"> particular attention is given to the design parameters indicated to support successful portal implementation. D</w:t>
      </w:r>
      <w:r w:rsidRPr="00E17487">
        <w:t>etails of the relative</w:t>
      </w:r>
      <w:r w:rsidR="00E74C2E" w:rsidRPr="00E17487">
        <w:t xml:space="preserve">ly certain design parameters are discussed </w:t>
      </w:r>
      <w:r w:rsidR="001B320A">
        <w:t>extensively in the broad</w:t>
      </w:r>
      <w:r w:rsidR="00E74C2E" w:rsidRPr="00E17487">
        <w:t xml:space="preserve"> report.</w:t>
      </w:r>
    </w:p>
    <w:p w:rsidR="00E74C2E" w:rsidRPr="00E17487" w:rsidRDefault="0036201E" w:rsidP="00E74C2E">
      <w:pPr>
        <w:pStyle w:val="UnnumtextBodytext"/>
      </w:pPr>
      <w:r>
        <w:t>With this in mind</w:t>
      </w:r>
      <w:r w:rsidR="00E74C2E" w:rsidRPr="00E17487">
        <w:t xml:space="preserve"> four different scenarios are reported</w:t>
      </w:r>
      <w:r w:rsidR="00D50A37">
        <w:t xml:space="preserve"> including:</w:t>
      </w:r>
    </w:p>
    <w:p w:rsidR="00E74C2E" w:rsidRPr="00E17487" w:rsidRDefault="00E74C2E" w:rsidP="00E74C2E">
      <w:pPr>
        <w:pStyle w:val="UnnumtextBullet1"/>
      </w:pPr>
      <w:r w:rsidRPr="00E17487">
        <w:t>a baseline level;</w:t>
      </w:r>
    </w:p>
    <w:p w:rsidR="00E74C2E" w:rsidRPr="00E17487" w:rsidRDefault="00E74C2E" w:rsidP="00E74C2E">
      <w:pPr>
        <w:pStyle w:val="UnnumtextBullet1"/>
        <w:spacing w:after="170"/>
      </w:pPr>
      <w:r w:rsidRPr="00E17487">
        <w:t>different levels of substitution in GP workload between online clinical queries and in-person consults;</w:t>
      </w:r>
    </w:p>
    <w:p w:rsidR="00E74C2E" w:rsidRPr="00E17487" w:rsidRDefault="00E74C2E" w:rsidP="00E74C2E">
      <w:pPr>
        <w:pStyle w:val="UnnumtextBullet1"/>
        <w:spacing w:after="170"/>
      </w:pPr>
      <w:r w:rsidRPr="00E17487">
        <w:t>different volumes of online “clinical queries”</w:t>
      </w:r>
      <w:r w:rsidR="003766FD">
        <w:t xml:space="preserve"> per patient</w:t>
      </w:r>
      <w:r w:rsidRPr="00E17487">
        <w:t>; and</w:t>
      </w:r>
    </w:p>
    <w:p w:rsidR="000664C5" w:rsidRPr="00E17487" w:rsidRDefault="00E74C2E" w:rsidP="00E74C2E">
      <w:pPr>
        <w:pStyle w:val="UnnumtextBullet1"/>
        <w:spacing w:after="170"/>
      </w:pPr>
      <w:r w:rsidRPr="00E17487">
        <w:t>different cost-recovery fees charged by practices to subscribed patients</w:t>
      </w:r>
      <w:r w:rsidR="000664C5" w:rsidRPr="00E17487">
        <w:t xml:space="preserve"> </w:t>
      </w:r>
    </w:p>
    <w:p w:rsidR="00A67B96" w:rsidRDefault="00A67B96" w:rsidP="00361F5D">
      <w:pPr>
        <w:pStyle w:val="UnnumtextBodytext"/>
      </w:pPr>
      <w:r>
        <w:t xml:space="preserve">Scenario </w:t>
      </w:r>
      <w:r w:rsidR="00A85D3B">
        <w:t>1</w:t>
      </w:r>
      <w:r w:rsidR="007E51AD">
        <w:t xml:space="preserve"> models the effect of portal implementation when practices contin</w:t>
      </w:r>
      <w:r w:rsidR="00C26752">
        <w:t xml:space="preserve">ue </w:t>
      </w:r>
      <w:r w:rsidR="005B49E8">
        <w:t xml:space="preserve">business as usual. That is </w:t>
      </w:r>
      <w:r>
        <w:t xml:space="preserve">the only variable assumption imposed on the model </w:t>
      </w:r>
      <w:r w:rsidR="00D50A37">
        <w:t>is</w:t>
      </w:r>
      <w:r>
        <w:t xml:space="preserve"> the number of clinical queries per patient; all other assumptions </w:t>
      </w:r>
      <w:r w:rsidR="00D50A37">
        <w:t>are</w:t>
      </w:r>
      <w:r>
        <w:t xml:space="preserve"> </w:t>
      </w:r>
      <w:r w:rsidR="00A85D3B">
        <w:t xml:space="preserve">based on the design parameters with relative certainty regarding how portals </w:t>
      </w:r>
      <w:r w:rsidR="00DD5D7B">
        <w:t>reorganise practice activity. These fixed assumptions are discussed in the broad report.</w:t>
      </w:r>
      <w:r w:rsidR="00A85D3B">
        <w:t xml:space="preserve"> </w:t>
      </w:r>
    </w:p>
    <w:p w:rsidR="00735BFD" w:rsidRDefault="00A67B96" w:rsidP="00361F5D">
      <w:pPr>
        <w:pStyle w:val="UnnumtextBodytext"/>
      </w:pPr>
      <w:r>
        <w:t>Scenarios 2 and 3 extend the first scenario. Scenario 2 models the outcomes when GPs substitute</w:t>
      </w:r>
      <w:r w:rsidR="00B31DA2">
        <w:t xml:space="preserve"> their workload</w:t>
      </w:r>
      <w:r>
        <w:t xml:space="preserve"> between </w:t>
      </w:r>
      <w:r w:rsidR="00B31DA2">
        <w:t>online clinical queries and in-person consults. T</w:t>
      </w:r>
      <w:r w:rsidR="00D50A37">
        <w:t>he rate of substitution measures</w:t>
      </w:r>
      <w:r w:rsidR="00B31DA2">
        <w:t xml:space="preserve"> the percentage of in-person consults that are avoided following an online clinical query.</w:t>
      </w:r>
      <w:r w:rsidR="00072BBC">
        <w:rPr>
          <w:rStyle w:val="FootnoteReference"/>
        </w:rPr>
        <w:footnoteReference w:id="2"/>
      </w:r>
      <w:r w:rsidR="00B31DA2">
        <w:t xml:space="preserve"> Scenario 3 explores the effect changing the number of clinical queries per patient has on </w:t>
      </w:r>
      <w:r w:rsidR="00735BFD">
        <w:t xml:space="preserve">the outcomes for general practices. </w:t>
      </w:r>
    </w:p>
    <w:p w:rsidR="00735BFD" w:rsidRDefault="00735BFD" w:rsidP="00735BFD">
      <w:pPr>
        <w:pStyle w:val="UnnumtextBodytext"/>
      </w:pPr>
      <w:r>
        <w:t>Scenario 4 illustrates how different fee structures charged by practices for portal use may distort the potential outcomes for general practices. The reported results should be interpreted with this in mind rather than their absolute values.</w:t>
      </w:r>
    </w:p>
    <w:p w:rsidR="005B49E8" w:rsidRPr="00E17487" w:rsidRDefault="00735BFD" w:rsidP="005B49E8">
      <w:pPr>
        <w:pStyle w:val="UnnumtextBodytext"/>
      </w:pPr>
      <w:r>
        <w:t>E</w:t>
      </w:r>
      <w:r w:rsidR="005B49E8" w:rsidRPr="00E17487">
        <w:t xml:space="preserve">ach scenario </w:t>
      </w:r>
      <w:r>
        <w:t>reports</w:t>
      </w:r>
      <w:r w:rsidR="005B49E8" w:rsidRPr="00E17487">
        <w:t xml:space="preserve"> a selection of the key assumptions for the </w:t>
      </w:r>
      <w:r w:rsidR="00D50A37">
        <w:t>relatively uncertain design parameters</w:t>
      </w:r>
      <w:r w:rsidR="005B49E8" w:rsidRPr="00E17487">
        <w:t xml:space="preserve">, as well as figures documenting the development of outcomes for general practices when patient uptake of the portal increased. A </w:t>
      </w:r>
      <w:r w:rsidR="005B49E8">
        <w:t>brief</w:t>
      </w:r>
      <w:r w:rsidR="005B49E8" w:rsidRPr="00E17487">
        <w:t xml:space="preserve"> </w:t>
      </w:r>
      <w:r w:rsidR="005B49E8">
        <w:t>commentary</w:t>
      </w:r>
      <w:r w:rsidR="005B49E8" w:rsidRPr="00E17487">
        <w:t xml:space="preserve"> of the results is also included.</w:t>
      </w:r>
    </w:p>
    <w:p w:rsidR="001E3354" w:rsidRPr="00E17487" w:rsidRDefault="001E3354" w:rsidP="00301FAF">
      <w:pPr>
        <w:pStyle w:val="UnnumtextBodytext"/>
      </w:pPr>
    </w:p>
    <w:p w:rsidR="001E3354" w:rsidRPr="00E17487" w:rsidRDefault="001E3354" w:rsidP="00301FAF">
      <w:pPr>
        <w:pStyle w:val="UnnumtextBodytext"/>
        <w:sectPr w:rsidR="001E3354" w:rsidRPr="00E17487" w:rsidSect="00301FAF">
          <w:footerReference w:type="default" r:id="rId23"/>
          <w:endnotePr>
            <w:numFmt w:val="decimal"/>
          </w:endnotePr>
          <w:type w:val="continuous"/>
          <w:pgSz w:w="16840" w:h="11907" w:orient="landscape" w:code="9"/>
          <w:pgMar w:top="1418" w:right="1134" w:bottom="1418" w:left="1134" w:header="737" w:footer="454" w:gutter="0"/>
          <w:cols w:num="2" w:space="567"/>
          <w:docGrid w:linePitch="299"/>
        </w:sectPr>
      </w:pPr>
    </w:p>
    <w:p w:rsidR="001E3354" w:rsidRPr="00E17487" w:rsidRDefault="001E3354" w:rsidP="00301FAF">
      <w:pPr>
        <w:pStyle w:val="Heading1"/>
        <w:spacing w:after="160"/>
      </w:pPr>
      <w:bookmarkStart w:id="8" w:name="_Toc419469094"/>
      <w:r w:rsidRPr="00E17487">
        <w:t>Scenario Analysis</w:t>
      </w:r>
      <w:bookmarkEnd w:id="8"/>
    </w:p>
    <w:p w:rsidR="001E3354" w:rsidRPr="00E17487" w:rsidRDefault="001E3354" w:rsidP="00301FAF">
      <w:pPr>
        <w:pStyle w:val="UnnumtextBodytext"/>
        <w:sectPr w:rsidR="001E3354" w:rsidRPr="00E17487" w:rsidSect="00301FAF">
          <w:endnotePr>
            <w:numFmt w:val="decimal"/>
          </w:endnotePr>
          <w:pgSz w:w="16840" w:h="11907" w:orient="landscape" w:code="9"/>
          <w:pgMar w:top="1418" w:right="1134" w:bottom="1418" w:left="1134" w:header="737" w:footer="454" w:gutter="0"/>
          <w:cols w:space="720"/>
          <w:docGrid w:linePitch="299"/>
        </w:sectPr>
      </w:pPr>
    </w:p>
    <w:p w:rsidR="001E3354" w:rsidRPr="00E17487" w:rsidRDefault="007E51AD" w:rsidP="00301FAF">
      <w:pPr>
        <w:pStyle w:val="Heading2"/>
        <w:numPr>
          <w:ilvl w:val="0"/>
          <w:numId w:val="0"/>
        </w:numPr>
      </w:pPr>
      <w:bookmarkStart w:id="9" w:name="_Toc419469095"/>
      <w:r>
        <w:t>Scenario 1: Baseline</w:t>
      </w:r>
      <w:bookmarkEnd w:id="9"/>
      <w:r w:rsidR="00D1055D" w:rsidRPr="00E17487">
        <w:t xml:space="preserve"> </w:t>
      </w:r>
    </w:p>
    <w:p w:rsidR="000A0821" w:rsidRPr="00E17487" w:rsidRDefault="000A0821" w:rsidP="000A0821">
      <w:pPr>
        <w:pStyle w:val="Caption"/>
        <w:rPr>
          <w:sz w:val="20"/>
        </w:rPr>
      </w:pPr>
      <w:bookmarkStart w:id="10" w:name="_Toc419469100"/>
      <w:r w:rsidRPr="00E17487">
        <w:rPr>
          <w:sz w:val="20"/>
        </w:rPr>
        <w:t xml:space="preserve">Table </w:t>
      </w:r>
      <w:r w:rsidRPr="00E17487">
        <w:rPr>
          <w:sz w:val="20"/>
        </w:rPr>
        <w:fldChar w:fldCharType="begin"/>
      </w:r>
      <w:r w:rsidRPr="00E17487">
        <w:rPr>
          <w:sz w:val="20"/>
        </w:rPr>
        <w:instrText xml:space="preserve"> SEQ Table \* ARABIC </w:instrText>
      </w:r>
      <w:r w:rsidRPr="00E17487">
        <w:rPr>
          <w:sz w:val="20"/>
        </w:rPr>
        <w:fldChar w:fldCharType="separate"/>
      </w:r>
      <w:r w:rsidR="008F1633">
        <w:rPr>
          <w:noProof/>
          <w:sz w:val="20"/>
        </w:rPr>
        <w:t>1</w:t>
      </w:r>
      <w:r w:rsidRPr="00E17487">
        <w:rPr>
          <w:noProof/>
          <w:sz w:val="20"/>
        </w:rPr>
        <w:fldChar w:fldCharType="end"/>
      </w:r>
      <w:r w:rsidRPr="00E17487">
        <w:rPr>
          <w:sz w:val="20"/>
        </w:rPr>
        <w:t xml:space="preserve"> </w:t>
      </w:r>
      <w:r w:rsidR="00301FAF" w:rsidRPr="00E17487">
        <w:rPr>
          <w:sz w:val="20"/>
        </w:rPr>
        <w:t>Scenario</w:t>
      </w:r>
      <w:r w:rsidRPr="00E17487">
        <w:rPr>
          <w:sz w:val="20"/>
        </w:rPr>
        <w:t xml:space="preserve"> </w:t>
      </w:r>
      <w:r w:rsidR="00062AC9">
        <w:rPr>
          <w:sz w:val="20"/>
        </w:rPr>
        <w:t xml:space="preserve">1 </w:t>
      </w:r>
      <w:r w:rsidRPr="00E17487">
        <w:rPr>
          <w:sz w:val="20"/>
        </w:rPr>
        <w:t>assumptions</w:t>
      </w:r>
      <w:bookmarkEnd w:id="10"/>
    </w:p>
    <w:tbl>
      <w:tblPr>
        <w:tblStyle w:val="TableSapereGrid"/>
        <w:tblW w:w="0" w:type="auto"/>
        <w:tblInd w:w="392" w:type="dxa"/>
        <w:tblCellMar>
          <w:top w:w="0" w:type="dxa"/>
          <w:left w:w="57" w:type="dxa"/>
          <w:bottom w:w="0" w:type="dxa"/>
          <w:right w:w="57" w:type="dxa"/>
        </w:tblCellMar>
        <w:tblLook w:val="0620" w:firstRow="1" w:lastRow="0" w:firstColumn="0" w:lastColumn="0" w:noHBand="1" w:noVBand="1"/>
      </w:tblPr>
      <w:tblGrid>
        <w:gridCol w:w="3685"/>
        <w:gridCol w:w="2694"/>
      </w:tblGrid>
      <w:tr w:rsidR="000A0821" w:rsidRPr="00E17487" w:rsidTr="0096091B">
        <w:trPr>
          <w:cnfStyle w:val="100000000000" w:firstRow="1" w:lastRow="0" w:firstColumn="0" w:lastColumn="0" w:oddVBand="0" w:evenVBand="0" w:oddHBand="0" w:evenHBand="0" w:firstRowFirstColumn="0" w:firstRowLastColumn="0" w:lastRowFirstColumn="0" w:lastRowLastColumn="0"/>
          <w:cantSplit/>
          <w:trHeight w:val="149"/>
        </w:trPr>
        <w:tc>
          <w:tcPr>
            <w:tcW w:w="3685" w:type="dxa"/>
          </w:tcPr>
          <w:p w:rsidR="000A0821" w:rsidRPr="00E17487" w:rsidRDefault="000A0821" w:rsidP="004A3747">
            <w:pPr>
              <w:pStyle w:val="Table-headingrow1"/>
              <w:spacing w:line="240" w:lineRule="auto"/>
              <w:rPr>
                <w:sz w:val="18"/>
              </w:rPr>
            </w:pPr>
            <w:r w:rsidRPr="00E17487">
              <w:rPr>
                <w:sz w:val="18"/>
              </w:rPr>
              <w:t>Parameter</w:t>
            </w:r>
          </w:p>
        </w:tc>
        <w:tc>
          <w:tcPr>
            <w:tcW w:w="2694" w:type="dxa"/>
          </w:tcPr>
          <w:p w:rsidR="000A0821" w:rsidRPr="00E17487" w:rsidRDefault="000A0821" w:rsidP="004A3747">
            <w:pPr>
              <w:pStyle w:val="Table-headingrow1"/>
              <w:spacing w:line="240" w:lineRule="auto"/>
              <w:rPr>
                <w:sz w:val="18"/>
              </w:rPr>
            </w:pPr>
            <w:r w:rsidRPr="00E17487">
              <w:rPr>
                <w:sz w:val="18"/>
              </w:rPr>
              <w:t>Value</w:t>
            </w:r>
          </w:p>
        </w:tc>
      </w:tr>
      <w:tr w:rsidR="000A0821" w:rsidRPr="00E17487" w:rsidTr="0096091B">
        <w:trPr>
          <w:cantSplit/>
          <w:trHeight w:val="125"/>
        </w:trPr>
        <w:tc>
          <w:tcPr>
            <w:tcW w:w="3685" w:type="dxa"/>
            <w:vAlign w:val="center"/>
          </w:tcPr>
          <w:p w:rsidR="000A0821" w:rsidRPr="00E17487" w:rsidRDefault="000A0821" w:rsidP="004A3747">
            <w:pPr>
              <w:pStyle w:val="UnnumtextBodytext"/>
              <w:spacing w:after="0" w:line="240" w:lineRule="auto"/>
              <w:rPr>
                <w:sz w:val="18"/>
              </w:rPr>
            </w:pPr>
            <w:r w:rsidRPr="00E17487">
              <w:rPr>
                <w:sz w:val="18"/>
              </w:rPr>
              <w:t>Practice Size</w:t>
            </w:r>
          </w:p>
        </w:tc>
        <w:tc>
          <w:tcPr>
            <w:tcW w:w="2694" w:type="dxa"/>
          </w:tcPr>
          <w:p w:rsidR="000A0821" w:rsidRPr="00E17487" w:rsidRDefault="00975FEB" w:rsidP="004A3747">
            <w:pPr>
              <w:pStyle w:val="UnnumtextBodytext"/>
              <w:spacing w:after="0" w:line="240" w:lineRule="auto"/>
              <w:jc w:val="right"/>
              <w:rPr>
                <w:sz w:val="18"/>
              </w:rPr>
            </w:pPr>
            <w:r w:rsidRPr="00E17487">
              <w:rPr>
                <w:sz w:val="18"/>
              </w:rPr>
              <w:t>2500-10000</w:t>
            </w:r>
          </w:p>
        </w:tc>
      </w:tr>
      <w:tr w:rsidR="000A0821" w:rsidRPr="00E17487" w:rsidTr="0096091B">
        <w:trPr>
          <w:cantSplit/>
          <w:trHeight w:val="125"/>
        </w:trPr>
        <w:tc>
          <w:tcPr>
            <w:tcW w:w="3685" w:type="dxa"/>
            <w:vAlign w:val="center"/>
          </w:tcPr>
          <w:p w:rsidR="000A0821" w:rsidRPr="00E17487" w:rsidRDefault="000A0821" w:rsidP="004A3747">
            <w:pPr>
              <w:pStyle w:val="UnnumtextBodytext"/>
              <w:spacing w:after="0" w:line="240" w:lineRule="auto"/>
              <w:rPr>
                <w:sz w:val="18"/>
              </w:rPr>
            </w:pPr>
            <w:r w:rsidRPr="00E17487">
              <w:rPr>
                <w:sz w:val="18"/>
              </w:rPr>
              <w:t>Rate of substitution</w:t>
            </w:r>
          </w:p>
        </w:tc>
        <w:tc>
          <w:tcPr>
            <w:tcW w:w="2694" w:type="dxa"/>
          </w:tcPr>
          <w:p w:rsidR="000A0821" w:rsidRPr="00E17487" w:rsidRDefault="00975FEB" w:rsidP="004A3747">
            <w:pPr>
              <w:pStyle w:val="UnnumtextBodytext"/>
              <w:spacing w:after="0" w:line="240" w:lineRule="auto"/>
              <w:jc w:val="right"/>
              <w:rPr>
                <w:sz w:val="18"/>
              </w:rPr>
            </w:pPr>
            <w:r w:rsidRPr="00E17487">
              <w:rPr>
                <w:sz w:val="18"/>
              </w:rPr>
              <w:t>0%</w:t>
            </w:r>
          </w:p>
        </w:tc>
      </w:tr>
      <w:tr w:rsidR="000A0821" w:rsidRPr="00E17487" w:rsidTr="0096091B">
        <w:trPr>
          <w:cantSplit/>
          <w:trHeight w:val="125"/>
        </w:trPr>
        <w:tc>
          <w:tcPr>
            <w:tcW w:w="3685" w:type="dxa"/>
            <w:vAlign w:val="center"/>
          </w:tcPr>
          <w:p w:rsidR="000A0821" w:rsidRPr="00E17487" w:rsidRDefault="000A0821" w:rsidP="004A3747">
            <w:pPr>
              <w:pStyle w:val="UnnumtextBodytext"/>
              <w:spacing w:after="0" w:line="240" w:lineRule="auto"/>
              <w:rPr>
                <w:sz w:val="18"/>
              </w:rPr>
            </w:pPr>
            <w:r w:rsidRPr="00E17487">
              <w:rPr>
                <w:sz w:val="18"/>
              </w:rPr>
              <w:t>Clinical queries per patient</w:t>
            </w:r>
          </w:p>
        </w:tc>
        <w:tc>
          <w:tcPr>
            <w:tcW w:w="2694" w:type="dxa"/>
          </w:tcPr>
          <w:p w:rsidR="000A0821" w:rsidRPr="00E17487" w:rsidRDefault="00975FEB" w:rsidP="004A3747">
            <w:pPr>
              <w:pStyle w:val="UnnumtextBodytext"/>
              <w:spacing w:after="0" w:line="240" w:lineRule="auto"/>
              <w:jc w:val="right"/>
              <w:rPr>
                <w:sz w:val="18"/>
              </w:rPr>
            </w:pPr>
            <w:r w:rsidRPr="00E17487">
              <w:rPr>
                <w:sz w:val="18"/>
              </w:rPr>
              <w:t>1.5</w:t>
            </w:r>
          </w:p>
        </w:tc>
      </w:tr>
      <w:tr w:rsidR="00975FEB" w:rsidRPr="00E17487" w:rsidTr="0096091B">
        <w:trPr>
          <w:cantSplit/>
          <w:trHeight w:val="125"/>
        </w:trPr>
        <w:tc>
          <w:tcPr>
            <w:tcW w:w="3685" w:type="dxa"/>
          </w:tcPr>
          <w:p w:rsidR="00975FEB" w:rsidRPr="00E17487" w:rsidRDefault="00975FEB" w:rsidP="004A3747">
            <w:pPr>
              <w:pStyle w:val="UnnumtextBodytext"/>
              <w:spacing w:after="0" w:line="240" w:lineRule="auto"/>
              <w:rPr>
                <w:sz w:val="18"/>
              </w:rPr>
            </w:pPr>
            <w:r w:rsidRPr="00E17487">
              <w:rPr>
                <w:sz w:val="18"/>
              </w:rPr>
              <w:t>Subscription fee</w:t>
            </w:r>
          </w:p>
        </w:tc>
        <w:tc>
          <w:tcPr>
            <w:tcW w:w="2694" w:type="dxa"/>
          </w:tcPr>
          <w:p w:rsidR="00975FEB" w:rsidRPr="00E17487" w:rsidRDefault="00975FEB" w:rsidP="004A3747">
            <w:pPr>
              <w:pStyle w:val="UnnumtextBodytext"/>
              <w:spacing w:after="0" w:line="240" w:lineRule="auto"/>
              <w:jc w:val="right"/>
              <w:rPr>
                <w:sz w:val="18"/>
              </w:rPr>
            </w:pPr>
            <w:r w:rsidRPr="00E17487">
              <w:rPr>
                <w:sz w:val="18"/>
              </w:rPr>
              <w:t>$0</w:t>
            </w:r>
          </w:p>
        </w:tc>
      </w:tr>
      <w:tr w:rsidR="00975FEB" w:rsidRPr="00E17487" w:rsidTr="0096091B">
        <w:trPr>
          <w:cantSplit/>
          <w:trHeight w:val="19"/>
        </w:trPr>
        <w:tc>
          <w:tcPr>
            <w:tcW w:w="3685" w:type="dxa"/>
          </w:tcPr>
          <w:p w:rsidR="00975FEB" w:rsidRPr="00E17487" w:rsidRDefault="00975FEB" w:rsidP="004A3747">
            <w:pPr>
              <w:pStyle w:val="UnnumtextBodytext"/>
              <w:spacing w:after="0" w:line="240" w:lineRule="auto"/>
              <w:rPr>
                <w:sz w:val="18"/>
              </w:rPr>
            </w:pPr>
            <w:r w:rsidRPr="00E17487">
              <w:rPr>
                <w:sz w:val="18"/>
              </w:rPr>
              <w:t>Online consultation fee</w:t>
            </w:r>
          </w:p>
        </w:tc>
        <w:tc>
          <w:tcPr>
            <w:tcW w:w="2694" w:type="dxa"/>
          </w:tcPr>
          <w:p w:rsidR="00975FEB" w:rsidRPr="00E17487" w:rsidRDefault="00975FEB" w:rsidP="004A3747">
            <w:pPr>
              <w:pStyle w:val="UnnumtextBodytext"/>
              <w:spacing w:after="0" w:line="240" w:lineRule="auto"/>
              <w:jc w:val="right"/>
              <w:rPr>
                <w:sz w:val="18"/>
              </w:rPr>
            </w:pPr>
            <w:r w:rsidRPr="00E17487">
              <w:rPr>
                <w:sz w:val="18"/>
              </w:rPr>
              <w:t>$0</w:t>
            </w:r>
          </w:p>
        </w:tc>
      </w:tr>
    </w:tbl>
    <w:p w:rsidR="000A0821" w:rsidRPr="00E17487" w:rsidRDefault="000A0821" w:rsidP="000A0821">
      <w:pPr>
        <w:pStyle w:val="Whitespace"/>
        <w:spacing w:after="0"/>
        <w:rPr>
          <w:sz w:val="16"/>
        </w:rPr>
      </w:pPr>
    </w:p>
    <w:p w:rsidR="001B7CE7" w:rsidRPr="00E17487" w:rsidRDefault="0096091B" w:rsidP="004A3747">
      <w:pPr>
        <w:pStyle w:val="UnnumtextBodytext"/>
      </w:pPr>
      <w:r w:rsidRPr="00E17487">
        <w:t>The estimated results imply that for a 5000 patient practice with 40% subscribed to the portal;</w:t>
      </w:r>
    </w:p>
    <w:p w:rsidR="0096091B" w:rsidRPr="00E17487" w:rsidRDefault="00ED770A" w:rsidP="0096091B">
      <w:pPr>
        <w:pStyle w:val="UnnumtextBullet1"/>
      </w:pPr>
      <w:r w:rsidRPr="00E17487">
        <w:t>GP FTE increases</w:t>
      </w:r>
      <w:r w:rsidR="0096091B" w:rsidRPr="00E17487">
        <w:t xml:space="preserve"> by </w:t>
      </w:r>
      <w:r w:rsidR="00FD3F39" w:rsidRPr="00E17487">
        <w:t>0.</w:t>
      </w:r>
      <w:r w:rsidR="00031D65">
        <w:t>138</w:t>
      </w:r>
    </w:p>
    <w:p w:rsidR="0096091B" w:rsidRPr="00E17487" w:rsidRDefault="00ED770A" w:rsidP="0096091B">
      <w:pPr>
        <w:pStyle w:val="UnnumtextBullet1"/>
      </w:pPr>
      <w:r w:rsidRPr="00E17487">
        <w:t>Nurse FTE decreases</w:t>
      </w:r>
      <w:r w:rsidR="00FD3F39" w:rsidRPr="00E17487">
        <w:t xml:space="preserve"> by 0.0</w:t>
      </w:r>
      <w:r w:rsidR="00031D65">
        <w:t>80</w:t>
      </w:r>
    </w:p>
    <w:p w:rsidR="0096091B" w:rsidRPr="00E17487" w:rsidRDefault="00ED770A" w:rsidP="0096091B">
      <w:pPr>
        <w:pStyle w:val="UnnumtextBullet1"/>
      </w:pPr>
      <w:r w:rsidRPr="00E17487">
        <w:t>Admin staff FTE decreases</w:t>
      </w:r>
      <w:r w:rsidR="00031D65">
        <w:t xml:space="preserve"> by 0.833</w:t>
      </w:r>
    </w:p>
    <w:p w:rsidR="0096091B" w:rsidRPr="00E17487" w:rsidRDefault="00031D65" w:rsidP="0096091B">
      <w:pPr>
        <w:pStyle w:val="UnnumtextBullet1"/>
        <w:spacing w:after="170"/>
      </w:pPr>
      <w:r>
        <w:t xml:space="preserve">Net gains </w:t>
      </w:r>
      <w:r w:rsidR="001D740E">
        <w:t xml:space="preserve">at typical pay scales for clinical staff </w:t>
      </w:r>
      <w:r>
        <w:t>equal $9,863</w:t>
      </w:r>
    </w:p>
    <w:p w:rsidR="0096091B" w:rsidRPr="00E17487" w:rsidRDefault="00FD3F39" w:rsidP="0096091B">
      <w:pPr>
        <w:pStyle w:val="UnnumtextBodytext"/>
      </w:pPr>
      <w:r w:rsidRPr="00E17487">
        <w:t xml:space="preserve">All else </w:t>
      </w:r>
      <w:r w:rsidR="001D740E">
        <w:t xml:space="preserve">being </w:t>
      </w:r>
      <w:r w:rsidRPr="00E17487">
        <w:t>equal</w:t>
      </w:r>
      <w:r w:rsidR="001D740E">
        <w:t>,</w:t>
      </w:r>
      <w:r w:rsidRPr="00E17487">
        <w:t xml:space="preserve"> </w:t>
      </w:r>
      <w:r w:rsidR="003766FD">
        <w:t>increasing</w:t>
      </w:r>
      <w:r w:rsidRPr="00E17487">
        <w:t xml:space="preserve"> the practice size has a 1:1 scale effect on the outcomes for general practices</w:t>
      </w:r>
      <w:r w:rsidR="00632875" w:rsidRPr="00E17487">
        <w:t>.</w:t>
      </w:r>
    </w:p>
    <w:p w:rsidR="00FD3F39" w:rsidRPr="00E17487" w:rsidRDefault="00DE5E3C" w:rsidP="0096091B">
      <w:pPr>
        <w:pStyle w:val="UnnumtextBodytext"/>
      </w:pPr>
      <w:r w:rsidRPr="00E17487">
        <w:t>The relatively large decrease in the required admin FTE emphasises the benefits to a practice from streamlining clinical activities</w:t>
      </w:r>
      <w:r w:rsidR="001D740E">
        <w:t xml:space="preserve"> and not doublehandling information</w:t>
      </w:r>
      <w:r w:rsidRPr="00E17487">
        <w:t>.</w:t>
      </w:r>
    </w:p>
    <w:p w:rsidR="00DE5E3C" w:rsidRPr="00E17487" w:rsidRDefault="00DE5E3C" w:rsidP="0096091B">
      <w:pPr>
        <w:pStyle w:val="UnnumtextBodytext"/>
      </w:pPr>
      <w:r w:rsidRPr="00E17487">
        <w:t xml:space="preserve">The modest changes in GP FTE suggest that even in a “worst-case” scenario doctors won’t become flooded with an increased workload. Further there is potential to even-out </w:t>
      </w:r>
      <w:r w:rsidR="00ED770A" w:rsidRPr="00E17487">
        <w:t>this increase</w:t>
      </w:r>
      <w:r w:rsidRPr="00E17487">
        <w:t xml:space="preserve"> through substitution between online clinical query consults and in-person consultations</w:t>
      </w:r>
      <w:r w:rsidR="003766FD">
        <w:t>.</w:t>
      </w:r>
    </w:p>
    <w:p w:rsidR="004A3747" w:rsidRPr="00E17487" w:rsidRDefault="004A3747" w:rsidP="000A0821">
      <w:pPr>
        <w:pStyle w:val="Whitespace"/>
        <w:spacing w:after="0"/>
        <w:rPr>
          <w:sz w:val="16"/>
        </w:rPr>
      </w:pPr>
    </w:p>
    <w:p w:rsidR="000D6AEC" w:rsidRPr="00E17487" w:rsidRDefault="000D6AEC" w:rsidP="000D6AEC">
      <w:pPr>
        <w:pStyle w:val="Caption"/>
        <w:rPr>
          <w:sz w:val="20"/>
        </w:rPr>
      </w:pPr>
      <w:bookmarkStart w:id="11" w:name="_Toc419469101"/>
      <w:r w:rsidRPr="00E17487">
        <w:rPr>
          <w:sz w:val="20"/>
        </w:rPr>
        <w:t xml:space="preserve">Table </w:t>
      </w:r>
      <w:r w:rsidRPr="00E17487">
        <w:rPr>
          <w:sz w:val="20"/>
        </w:rPr>
        <w:fldChar w:fldCharType="begin"/>
      </w:r>
      <w:r w:rsidRPr="00E17487">
        <w:rPr>
          <w:sz w:val="20"/>
        </w:rPr>
        <w:instrText xml:space="preserve"> SEQ Table \* ARABIC </w:instrText>
      </w:r>
      <w:r w:rsidRPr="00E17487">
        <w:rPr>
          <w:sz w:val="20"/>
        </w:rPr>
        <w:fldChar w:fldCharType="separate"/>
      </w:r>
      <w:r w:rsidR="008F1633">
        <w:rPr>
          <w:noProof/>
          <w:sz w:val="20"/>
        </w:rPr>
        <w:t>2</w:t>
      </w:r>
      <w:r w:rsidRPr="00E17487">
        <w:rPr>
          <w:noProof/>
          <w:sz w:val="20"/>
        </w:rPr>
        <w:fldChar w:fldCharType="end"/>
      </w:r>
      <w:r w:rsidRPr="00E17487">
        <w:rPr>
          <w:sz w:val="20"/>
        </w:rPr>
        <w:t xml:space="preserve"> Summary results</w:t>
      </w:r>
      <w:bookmarkEnd w:id="11"/>
    </w:p>
    <w:tbl>
      <w:tblPr>
        <w:tblStyle w:val="TableSapereGrid"/>
        <w:tblW w:w="6254" w:type="dxa"/>
        <w:tblInd w:w="392" w:type="dxa"/>
        <w:tblCellMar>
          <w:top w:w="0" w:type="dxa"/>
          <w:left w:w="57" w:type="dxa"/>
          <w:bottom w:w="0" w:type="dxa"/>
          <w:right w:w="57" w:type="dxa"/>
        </w:tblCellMar>
        <w:tblLook w:val="0620" w:firstRow="1" w:lastRow="0" w:firstColumn="0" w:lastColumn="0" w:noHBand="1" w:noVBand="1"/>
      </w:tblPr>
      <w:tblGrid>
        <w:gridCol w:w="1117"/>
        <w:gridCol w:w="1284"/>
        <w:gridCol w:w="9"/>
        <w:gridCol w:w="1275"/>
        <w:gridCol w:w="18"/>
        <w:gridCol w:w="1266"/>
        <w:gridCol w:w="9"/>
        <w:gridCol w:w="1276"/>
      </w:tblGrid>
      <w:tr w:rsidR="004A3747" w:rsidRPr="00E17487" w:rsidTr="0096091B">
        <w:trPr>
          <w:cnfStyle w:val="100000000000" w:firstRow="1" w:lastRow="0" w:firstColumn="0" w:lastColumn="0" w:oddVBand="0" w:evenVBand="0" w:oddHBand="0" w:evenHBand="0" w:firstRowFirstColumn="0" w:firstRowLastColumn="0" w:lastRowFirstColumn="0" w:lastRowLastColumn="0"/>
          <w:cantSplit/>
        </w:trPr>
        <w:tc>
          <w:tcPr>
            <w:tcW w:w="1117" w:type="dxa"/>
          </w:tcPr>
          <w:p w:rsidR="004A3747" w:rsidRPr="00E17487" w:rsidRDefault="004A3747" w:rsidP="0096091B">
            <w:pPr>
              <w:pStyle w:val="Table-headingrow1"/>
              <w:spacing w:line="240" w:lineRule="auto"/>
              <w:rPr>
                <w:sz w:val="18"/>
              </w:rPr>
            </w:pPr>
            <w:r w:rsidRPr="00E17487">
              <w:rPr>
                <w:sz w:val="18"/>
              </w:rPr>
              <w:t>Practice Size</w:t>
            </w:r>
          </w:p>
        </w:tc>
        <w:tc>
          <w:tcPr>
            <w:tcW w:w="1293" w:type="dxa"/>
            <w:gridSpan w:val="2"/>
          </w:tcPr>
          <w:p w:rsidR="004A3747" w:rsidRPr="00E17487" w:rsidRDefault="004A3747" w:rsidP="0096091B">
            <w:pPr>
              <w:pStyle w:val="Default"/>
              <w:rPr>
                <w:b/>
                <w:bCs/>
                <w:color w:val="FFFFFF"/>
                <w:sz w:val="18"/>
                <w:szCs w:val="22"/>
              </w:rPr>
            </w:pPr>
            <w:r w:rsidRPr="00E17487">
              <w:rPr>
                <w:b/>
                <w:bCs/>
                <w:color w:val="FFFFFF"/>
                <w:sz w:val="18"/>
                <w:szCs w:val="22"/>
              </w:rPr>
              <w:t>Patient Uptake</w:t>
            </w:r>
          </w:p>
        </w:tc>
        <w:tc>
          <w:tcPr>
            <w:tcW w:w="1293" w:type="dxa"/>
            <w:gridSpan w:val="2"/>
          </w:tcPr>
          <w:p w:rsidR="004A3747" w:rsidRPr="00E17487" w:rsidRDefault="004A3747" w:rsidP="0096091B">
            <w:pPr>
              <w:pStyle w:val="Default"/>
              <w:rPr>
                <w:color w:val="FFFFFF"/>
                <w:sz w:val="18"/>
              </w:rPr>
            </w:pPr>
            <w:r w:rsidRPr="00E17487">
              <w:rPr>
                <w:b/>
                <w:bCs/>
                <w:color w:val="FFFFFF"/>
                <w:sz w:val="18"/>
                <w:szCs w:val="22"/>
              </w:rPr>
              <w:t xml:space="preserve">Δ GP FTE </w:t>
            </w:r>
          </w:p>
          <w:p w:rsidR="004A3747" w:rsidRPr="00E17487" w:rsidRDefault="004A3747" w:rsidP="0096091B">
            <w:pPr>
              <w:pStyle w:val="Table-headingrow1"/>
              <w:spacing w:line="240" w:lineRule="auto"/>
              <w:rPr>
                <w:sz w:val="18"/>
              </w:rPr>
            </w:pPr>
          </w:p>
        </w:tc>
        <w:tc>
          <w:tcPr>
            <w:tcW w:w="1275" w:type="dxa"/>
            <w:gridSpan w:val="2"/>
          </w:tcPr>
          <w:p w:rsidR="004A3747" w:rsidRPr="00E17487" w:rsidRDefault="004A3747" w:rsidP="0096091B">
            <w:pPr>
              <w:pStyle w:val="Default"/>
              <w:rPr>
                <w:color w:val="FFFFFF"/>
                <w:sz w:val="18"/>
              </w:rPr>
            </w:pPr>
            <w:r w:rsidRPr="00E17487">
              <w:rPr>
                <w:b/>
                <w:bCs/>
                <w:color w:val="FFFFFF"/>
                <w:sz w:val="18"/>
                <w:szCs w:val="22"/>
              </w:rPr>
              <w:t xml:space="preserve">Δ Nurse FTE </w:t>
            </w:r>
          </w:p>
          <w:p w:rsidR="004A3747" w:rsidRPr="00E17487" w:rsidRDefault="004A3747" w:rsidP="0096091B">
            <w:pPr>
              <w:pStyle w:val="Table-headingrow1"/>
              <w:spacing w:line="240" w:lineRule="auto"/>
              <w:rPr>
                <w:sz w:val="18"/>
              </w:rPr>
            </w:pPr>
          </w:p>
        </w:tc>
        <w:tc>
          <w:tcPr>
            <w:tcW w:w="1276" w:type="dxa"/>
          </w:tcPr>
          <w:p w:rsidR="004A3747" w:rsidRPr="00E17487" w:rsidRDefault="004A3747" w:rsidP="0096091B">
            <w:pPr>
              <w:pStyle w:val="Default"/>
              <w:rPr>
                <w:color w:val="FFFFFF"/>
                <w:sz w:val="18"/>
              </w:rPr>
            </w:pPr>
            <w:r w:rsidRPr="00E17487">
              <w:rPr>
                <w:b/>
                <w:bCs/>
                <w:color w:val="FFFFFF"/>
                <w:sz w:val="18"/>
                <w:szCs w:val="22"/>
              </w:rPr>
              <w:t xml:space="preserve">Δ Admin Staff FTE </w:t>
            </w:r>
          </w:p>
        </w:tc>
      </w:tr>
      <w:tr w:rsidR="004A3747" w:rsidRPr="00E17487" w:rsidTr="0096091B">
        <w:trPr>
          <w:cantSplit/>
          <w:trHeight w:val="236"/>
        </w:trPr>
        <w:tc>
          <w:tcPr>
            <w:tcW w:w="1117" w:type="dxa"/>
            <w:vMerge w:val="restart"/>
          </w:tcPr>
          <w:p w:rsidR="004A3747" w:rsidRPr="00E17487" w:rsidRDefault="004A3747" w:rsidP="0096091B">
            <w:pPr>
              <w:pStyle w:val="UnnumtextBodytext"/>
              <w:spacing w:after="0" w:line="240" w:lineRule="auto"/>
              <w:rPr>
                <w:sz w:val="18"/>
              </w:rPr>
            </w:pPr>
            <w:r w:rsidRPr="00E17487">
              <w:rPr>
                <w:sz w:val="18"/>
              </w:rPr>
              <w:t>2500</w:t>
            </w:r>
          </w:p>
        </w:tc>
        <w:tc>
          <w:tcPr>
            <w:tcW w:w="1284" w:type="dxa"/>
          </w:tcPr>
          <w:p w:rsidR="004A3747" w:rsidRPr="00E17487" w:rsidRDefault="004A3747" w:rsidP="0096091B">
            <w:pPr>
              <w:pStyle w:val="UnnumtextBodytext"/>
              <w:spacing w:after="0" w:line="240" w:lineRule="auto"/>
              <w:jc w:val="right"/>
              <w:rPr>
                <w:sz w:val="18"/>
              </w:rPr>
            </w:pPr>
            <w:r w:rsidRPr="00E17487">
              <w:rPr>
                <w:sz w:val="18"/>
              </w:rPr>
              <w:t>20%</w:t>
            </w:r>
          </w:p>
        </w:tc>
        <w:tc>
          <w:tcPr>
            <w:tcW w:w="1284" w:type="dxa"/>
            <w:gridSpan w:val="2"/>
          </w:tcPr>
          <w:p w:rsidR="004A3747" w:rsidRPr="00E17487" w:rsidRDefault="00031D65" w:rsidP="0096091B">
            <w:pPr>
              <w:pStyle w:val="UnnumtextBodytext"/>
              <w:spacing w:after="0" w:line="240" w:lineRule="auto"/>
              <w:jc w:val="right"/>
              <w:rPr>
                <w:sz w:val="18"/>
              </w:rPr>
            </w:pPr>
            <w:r>
              <w:rPr>
                <w:sz w:val="18"/>
              </w:rPr>
              <w:t>0.034</w:t>
            </w:r>
          </w:p>
        </w:tc>
        <w:tc>
          <w:tcPr>
            <w:tcW w:w="1284" w:type="dxa"/>
            <w:gridSpan w:val="2"/>
          </w:tcPr>
          <w:p w:rsidR="004A3747" w:rsidRPr="00E17487" w:rsidRDefault="00031D65" w:rsidP="0096091B">
            <w:pPr>
              <w:pStyle w:val="UnnumtextBodytext"/>
              <w:spacing w:after="0" w:line="240" w:lineRule="auto"/>
              <w:jc w:val="right"/>
              <w:rPr>
                <w:sz w:val="18"/>
              </w:rPr>
            </w:pPr>
            <w:r>
              <w:rPr>
                <w:sz w:val="18"/>
              </w:rPr>
              <w:t>-0.020</w:t>
            </w:r>
          </w:p>
        </w:tc>
        <w:tc>
          <w:tcPr>
            <w:tcW w:w="1285" w:type="dxa"/>
            <w:gridSpan w:val="2"/>
          </w:tcPr>
          <w:p w:rsidR="004A3747" w:rsidRPr="00E17487" w:rsidRDefault="00031D65" w:rsidP="0096091B">
            <w:pPr>
              <w:pStyle w:val="UnnumtextBodytext"/>
              <w:spacing w:after="0" w:line="240" w:lineRule="auto"/>
              <w:jc w:val="right"/>
              <w:rPr>
                <w:sz w:val="18"/>
              </w:rPr>
            </w:pPr>
            <w:r>
              <w:rPr>
                <w:sz w:val="18"/>
              </w:rPr>
              <w:t>-0.208</w:t>
            </w:r>
          </w:p>
        </w:tc>
      </w:tr>
      <w:tr w:rsidR="00031D65" w:rsidRPr="00E17487" w:rsidTr="0096091B">
        <w:trPr>
          <w:cantSplit/>
          <w:trHeight w:val="235"/>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40%</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0.069</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-0.040</w:t>
            </w:r>
          </w:p>
        </w:tc>
        <w:tc>
          <w:tcPr>
            <w:tcW w:w="1285" w:type="dxa"/>
            <w:gridSpan w:val="2"/>
          </w:tcPr>
          <w:p w:rsidR="00031D65" w:rsidRPr="00E17487" w:rsidRDefault="00031D65" w:rsidP="00FB21A6">
            <w:pPr>
              <w:pStyle w:val="UnnumtextBodytext"/>
              <w:spacing w:after="0" w:line="240" w:lineRule="auto"/>
              <w:jc w:val="right"/>
              <w:rPr>
                <w:sz w:val="18"/>
              </w:rPr>
            </w:pPr>
            <w:r>
              <w:rPr>
                <w:sz w:val="18"/>
              </w:rPr>
              <w:t>-0.417</w:t>
            </w:r>
          </w:p>
        </w:tc>
      </w:tr>
      <w:tr w:rsidR="00031D65" w:rsidRPr="00E17487" w:rsidTr="0096091B">
        <w:trPr>
          <w:cantSplit/>
          <w:trHeight w:val="235"/>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80%</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0.138</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-0.080</w:t>
            </w:r>
          </w:p>
        </w:tc>
        <w:tc>
          <w:tcPr>
            <w:tcW w:w="1285" w:type="dxa"/>
            <w:gridSpan w:val="2"/>
          </w:tcPr>
          <w:p w:rsidR="00031D65" w:rsidRPr="00E17487" w:rsidRDefault="00031D65" w:rsidP="00FB21A6">
            <w:pPr>
              <w:pStyle w:val="UnnumtextBodytext"/>
              <w:spacing w:after="0" w:line="240" w:lineRule="auto"/>
              <w:jc w:val="right"/>
              <w:rPr>
                <w:sz w:val="18"/>
              </w:rPr>
            </w:pPr>
            <w:r>
              <w:rPr>
                <w:sz w:val="18"/>
              </w:rPr>
              <w:t>-0.833</w:t>
            </w:r>
          </w:p>
        </w:tc>
      </w:tr>
      <w:tr w:rsidR="00031D65" w:rsidRPr="00E17487" w:rsidTr="0096091B">
        <w:trPr>
          <w:cantSplit/>
          <w:trHeight w:val="236"/>
        </w:trPr>
        <w:tc>
          <w:tcPr>
            <w:tcW w:w="1117" w:type="dxa"/>
            <w:vMerge w:val="restart"/>
          </w:tcPr>
          <w:p w:rsidR="00031D65" w:rsidRPr="00E17487" w:rsidRDefault="00031D65" w:rsidP="0096091B">
            <w:pPr>
              <w:pStyle w:val="UnnumtextBodytext"/>
              <w:spacing w:after="0" w:line="240" w:lineRule="auto"/>
              <w:rPr>
                <w:sz w:val="18"/>
              </w:rPr>
            </w:pPr>
            <w:r w:rsidRPr="00E17487">
              <w:rPr>
                <w:sz w:val="18"/>
              </w:rPr>
              <w:t>5000</w:t>
            </w:r>
          </w:p>
        </w:tc>
        <w:tc>
          <w:tcPr>
            <w:tcW w:w="1284" w:type="dxa"/>
          </w:tcPr>
          <w:p w:rsidR="00031D65" w:rsidRPr="00E17487" w:rsidRDefault="00031D65" w:rsidP="0096091B">
            <w:pPr>
              <w:pStyle w:val="UnnumtextBodytext"/>
              <w:spacing w:after="0" w:line="240" w:lineRule="auto"/>
              <w:jc w:val="right"/>
              <w:rPr>
                <w:sz w:val="18"/>
              </w:rPr>
            </w:pPr>
            <w:r w:rsidRPr="00E17487">
              <w:rPr>
                <w:sz w:val="18"/>
              </w:rPr>
              <w:t>20%</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0.069</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-0.040</w:t>
            </w:r>
          </w:p>
        </w:tc>
        <w:tc>
          <w:tcPr>
            <w:tcW w:w="1285" w:type="dxa"/>
            <w:gridSpan w:val="2"/>
          </w:tcPr>
          <w:p w:rsidR="00031D65" w:rsidRPr="00E17487" w:rsidRDefault="00031D65" w:rsidP="007E51AD">
            <w:pPr>
              <w:pStyle w:val="UnnumtextBodytext"/>
              <w:spacing w:after="0" w:line="240" w:lineRule="auto"/>
              <w:jc w:val="right"/>
              <w:rPr>
                <w:sz w:val="18"/>
              </w:rPr>
            </w:pPr>
            <w:r>
              <w:rPr>
                <w:sz w:val="18"/>
              </w:rPr>
              <w:t>-0.417</w:t>
            </w:r>
          </w:p>
        </w:tc>
      </w:tr>
      <w:tr w:rsidR="00031D65" w:rsidRPr="00E17487" w:rsidTr="0096091B">
        <w:trPr>
          <w:cantSplit/>
          <w:trHeight w:val="235"/>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40%</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0.138</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-0.080</w:t>
            </w:r>
          </w:p>
        </w:tc>
        <w:tc>
          <w:tcPr>
            <w:tcW w:w="1285" w:type="dxa"/>
            <w:gridSpan w:val="2"/>
          </w:tcPr>
          <w:p w:rsidR="00031D65" w:rsidRPr="00E17487" w:rsidRDefault="00031D65" w:rsidP="00FB21A6">
            <w:pPr>
              <w:pStyle w:val="UnnumtextBodytext"/>
              <w:spacing w:after="0" w:line="240" w:lineRule="auto"/>
              <w:jc w:val="right"/>
              <w:rPr>
                <w:sz w:val="18"/>
              </w:rPr>
            </w:pPr>
            <w:r>
              <w:rPr>
                <w:sz w:val="18"/>
              </w:rPr>
              <w:t>-0.833</w:t>
            </w:r>
          </w:p>
        </w:tc>
      </w:tr>
      <w:tr w:rsidR="00031D65" w:rsidRPr="00E17487" w:rsidTr="0096091B">
        <w:trPr>
          <w:cantSplit/>
          <w:trHeight w:val="235"/>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80%</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0.275</w:t>
            </w:r>
          </w:p>
        </w:tc>
        <w:tc>
          <w:tcPr>
            <w:tcW w:w="1284" w:type="dxa"/>
            <w:gridSpan w:val="2"/>
          </w:tcPr>
          <w:p w:rsidR="00031D65" w:rsidRPr="00E17487" w:rsidRDefault="00031D65" w:rsidP="00FB21A6">
            <w:pPr>
              <w:pStyle w:val="UnnumtextBodytext"/>
              <w:spacing w:after="0" w:line="240" w:lineRule="auto"/>
              <w:jc w:val="right"/>
              <w:rPr>
                <w:sz w:val="18"/>
              </w:rPr>
            </w:pPr>
            <w:r>
              <w:rPr>
                <w:sz w:val="18"/>
              </w:rPr>
              <w:t>-0.161</w:t>
            </w:r>
          </w:p>
        </w:tc>
        <w:tc>
          <w:tcPr>
            <w:tcW w:w="1285" w:type="dxa"/>
            <w:gridSpan w:val="2"/>
          </w:tcPr>
          <w:p w:rsidR="00031D65" w:rsidRPr="00E17487" w:rsidRDefault="00031D65" w:rsidP="00FB21A6">
            <w:pPr>
              <w:pStyle w:val="UnnumtextBodytext"/>
              <w:spacing w:after="0" w:line="240" w:lineRule="auto"/>
              <w:jc w:val="right"/>
              <w:rPr>
                <w:sz w:val="18"/>
              </w:rPr>
            </w:pPr>
            <w:r>
              <w:rPr>
                <w:sz w:val="18"/>
              </w:rPr>
              <w:t>-1.666</w:t>
            </w:r>
          </w:p>
        </w:tc>
      </w:tr>
      <w:tr w:rsidR="00031D65" w:rsidRPr="00E17487" w:rsidTr="0096091B">
        <w:trPr>
          <w:cantSplit/>
          <w:trHeight w:val="77"/>
        </w:trPr>
        <w:tc>
          <w:tcPr>
            <w:tcW w:w="1117" w:type="dxa"/>
            <w:vMerge w:val="restart"/>
          </w:tcPr>
          <w:p w:rsidR="00031D65" w:rsidRPr="00E17487" w:rsidRDefault="00031D65" w:rsidP="0096091B">
            <w:pPr>
              <w:pStyle w:val="UnnumtextBodytext"/>
              <w:spacing w:after="0" w:line="240" w:lineRule="auto"/>
              <w:rPr>
                <w:sz w:val="18"/>
              </w:rPr>
            </w:pPr>
            <w:r w:rsidRPr="00E17487">
              <w:rPr>
                <w:sz w:val="18"/>
              </w:rPr>
              <w:t>10000</w:t>
            </w:r>
          </w:p>
        </w:tc>
        <w:tc>
          <w:tcPr>
            <w:tcW w:w="1284" w:type="dxa"/>
          </w:tcPr>
          <w:p w:rsidR="00031D65" w:rsidRPr="00E17487" w:rsidRDefault="00031D65" w:rsidP="0096091B">
            <w:pPr>
              <w:pStyle w:val="UnnumtextBodytext"/>
              <w:spacing w:after="0" w:line="240" w:lineRule="auto"/>
              <w:jc w:val="right"/>
              <w:rPr>
                <w:sz w:val="18"/>
              </w:rPr>
            </w:pPr>
            <w:r w:rsidRPr="00E17487">
              <w:rPr>
                <w:sz w:val="18"/>
              </w:rPr>
              <w:t>20%</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0.138</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-0.080</w:t>
            </w:r>
          </w:p>
        </w:tc>
        <w:tc>
          <w:tcPr>
            <w:tcW w:w="1285" w:type="dxa"/>
            <w:gridSpan w:val="2"/>
          </w:tcPr>
          <w:p w:rsidR="00031D65" w:rsidRPr="00E17487" w:rsidRDefault="00031D65" w:rsidP="007E51AD">
            <w:pPr>
              <w:pStyle w:val="UnnumtextBodytext"/>
              <w:spacing w:after="0" w:line="240" w:lineRule="auto"/>
              <w:jc w:val="right"/>
              <w:rPr>
                <w:sz w:val="18"/>
              </w:rPr>
            </w:pPr>
            <w:r>
              <w:rPr>
                <w:sz w:val="18"/>
              </w:rPr>
              <w:t>-0.833</w:t>
            </w:r>
          </w:p>
        </w:tc>
      </w:tr>
      <w:tr w:rsidR="00031D65" w:rsidRPr="00E17487" w:rsidTr="0096091B">
        <w:trPr>
          <w:cantSplit/>
          <w:trHeight w:val="77"/>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40%</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0.275</w:t>
            </w:r>
          </w:p>
        </w:tc>
        <w:tc>
          <w:tcPr>
            <w:tcW w:w="1284" w:type="dxa"/>
            <w:gridSpan w:val="2"/>
          </w:tcPr>
          <w:p w:rsidR="00031D65" w:rsidRPr="00E17487" w:rsidRDefault="00031D65" w:rsidP="007E51AD">
            <w:pPr>
              <w:pStyle w:val="UnnumtextBodytext"/>
              <w:spacing w:after="0" w:line="240" w:lineRule="auto"/>
              <w:jc w:val="right"/>
              <w:rPr>
                <w:sz w:val="18"/>
              </w:rPr>
            </w:pPr>
            <w:r>
              <w:rPr>
                <w:sz w:val="18"/>
              </w:rPr>
              <w:t>-0.161</w:t>
            </w:r>
          </w:p>
        </w:tc>
        <w:tc>
          <w:tcPr>
            <w:tcW w:w="1285" w:type="dxa"/>
            <w:gridSpan w:val="2"/>
          </w:tcPr>
          <w:p w:rsidR="00031D65" w:rsidRPr="00E17487" w:rsidRDefault="00031D65" w:rsidP="007E51AD">
            <w:pPr>
              <w:pStyle w:val="UnnumtextBodytext"/>
              <w:spacing w:after="0" w:line="240" w:lineRule="auto"/>
              <w:jc w:val="right"/>
              <w:rPr>
                <w:sz w:val="18"/>
              </w:rPr>
            </w:pPr>
            <w:r>
              <w:rPr>
                <w:sz w:val="18"/>
              </w:rPr>
              <w:t>-1.666</w:t>
            </w:r>
          </w:p>
        </w:tc>
      </w:tr>
      <w:tr w:rsidR="00031D65" w:rsidRPr="00E17487" w:rsidTr="0096091B">
        <w:trPr>
          <w:cantSplit/>
          <w:trHeight w:val="20"/>
        </w:trPr>
        <w:tc>
          <w:tcPr>
            <w:tcW w:w="1117" w:type="dxa"/>
            <w:vMerge/>
          </w:tcPr>
          <w:p w:rsidR="00031D65" w:rsidRPr="00E17487" w:rsidRDefault="00031D65" w:rsidP="0096091B">
            <w:pPr>
              <w:pStyle w:val="UnnumtextBodytext"/>
              <w:spacing w:after="0" w:line="240" w:lineRule="auto"/>
              <w:rPr>
                <w:sz w:val="18"/>
              </w:rPr>
            </w:pPr>
          </w:p>
        </w:tc>
        <w:tc>
          <w:tcPr>
            <w:tcW w:w="1284" w:type="dxa"/>
          </w:tcPr>
          <w:p w:rsidR="00031D65" w:rsidRPr="00E17487" w:rsidRDefault="00031D65" w:rsidP="0096091B">
            <w:pPr>
              <w:pStyle w:val="UnnumtextBodytext"/>
              <w:spacing w:after="0" w:line="240" w:lineRule="auto"/>
              <w:jc w:val="right"/>
              <w:rPr>
                <w:sz w:val="18"/>
              </w:rPr>
            </w:pPr>
            <w:r w:rsidRPr="00E17487">
              <w:rPr>
                <w:sz w:val="18"/>
              </w:rPr>
              <w:t>80%</w:t>
            </w:r>
          </w:p>
        </w:tc>
        <w:tc>
          <w:tcPr>
            <w:tcW w:w="1284" w:type="dxa"/>
            <w:gridSpan w:val="2"/>
          </w:tcPr>
          <w:p w:rsidR="00031D65" w:rsidRPr="00E17487" w:rsidRDefault="00031D65" w:rsidP="0096091B">
            <w:pPr>
              <w:pStyle w:val="UnnumtextBodytext"/>
              <w:spacing w:after="0" w:line="240" w:lineRule="auto"/>
              <w:jc w:val="right"/>
              <w:rPr>
                <w:sz w:val="18"/>
              </w:rPr>
            </w:pPr>
            <w:r>
              <w:rPr>
                <w:sz w:val="18"/>
              </w:rPr>
              <w:t>0.550</w:t>
            </w:r>
          </w:p>
        </w:tc>
        <w:tc>
          <w:tcPr>
            <w:tcW w:w="1284" w:type="dxa"/>
            <w:gridSpan w:val="2"/>
          </w:tcPr>
          <w:p w:rsidR="00031D65" w:rsidRPr="00E17487" w:rsidRDefault="00031D65" w:rsidP="0096091B">
            <w:pPr>
              <w:pStyle w:val="UnnumtextBodytext"/>
              <w:spacing w:after="0" w:line="240" w:lineRule="auto"/>
              <w:jc w:val="right"/>
              <w:rPr>
                <w:sz w:val="18"/>
              </w:rPr>
            </w:pPr>
            <w:r>
              <w:rPr>
                <w:sz w:val="18"/>
              </w:rPr>
              <w:t>-0.321</w:t>
            </w:r>
          </w:p>
        </w:tc>
        <w:tc>
          <w:tcPr>
            <w:tcW w:w="1285" w:type="dxa"/>
            <w:gridSpan w:val="2"/>
          </w:tcPr>
          <w:p w:rsidR="00031D65" w:rsidRPr="00E17487" w:rsidRDefault="00031D65" w:rsidP="0096091B">
            <w:pPr>
              <w:pStyle w:val="UnnumtextBodytext"/>
              <w:spacing w:after="0" w:line="240" w:lineRule="auto"/>
              <w:jc w:val="right"/>
              <w:rPr>
                <w:sz w:val="18"/>
              </w:rPr>
            </w:pPr>
            <w:r>
              <w:rPr>
                <w:sz w:val="18"/>
              </w:rPr>
              <w:t>-3.332</w:t>
            </w:r>
          </w:p>
        </w:tc>
      </w:tr>
    </w:tbl>
    <w:p w:rsidR="0096091B" w:rsidRPr="00E17487" w:rsidRDefault="0096091B" w:rsidP="00701AD7">
      <w:pPr>
        <w:pStyle w:val="Caption"/>
        <w:rPr>
          <w:sz w:val="20"/>
        </w:rPr>
      </w:pPr>
    </w:p>
    <w:p w:rsidR="000D6AEC" w:rsidRPr="00E17487" w:rsidRDefault="00701AD7" w:rsidP="00701AD7">
      <w:pPr>
        <w:pStyle w:val="Caption"/>
        <w:rPr>
          <w:sz w:val="20"/>
        </w:rPr>
      </w:pPr>
      <w:bookmarkStart w:id="12" w:name="_Toc419469105"/>
      <w:r w:rsidRPr="00E17487">
        <w:rPr>
          <w:sz w:val="20"/>
        </w:rPr>
        <w:t xml:space="preserve">Figure </w:t>
      </w:r>
      <w:r w:rsidRPr="00E17487">
        <w:rPr>
          <w:sz w:val="20"/>
        </w:rPr>
        <w:fldChar w:fldCharType="begin"/>
      </w:r>
      <w:r w:rsidRPr="00E17487">
        <w:rPr>
          <w:sz w:val="20"/>
        </w:rPr>
        <w:instrText xml:space="preserve"> SEQ Figure \* ARABIC </w:instrText>
      </w:r>
      <w:r w:rsidRPr="00E17487">
        <w:rPr>
          <w:sz w:val="20"/>
        </w:rPr>
        <w:fldChar w:fldCharType="separate"/>
      </w:r>
      <w:r w:rsidR="008F1633">
        <w:rPr>
          <w:noProof/>
          <w:sz w:val="20"/>
        </w:rPr>
        <w:t>1</w:t>
      </w:r>
      <w:r w:rsidRPr="00E17487">
        <w:rPr>
          <w:sz w:val="20"/>
        </w:rPr>
        <w:fldChar w:fldCharType="end"/>
      </w:r>
      <w:r w:rsidRPr="00E17487">
        <w:rPr>
          <w:sz w:val="20"/>
        </w:rPr>
        <w:t xml:space="preserve"> Change in net gains conditional on patient uptake and practice size</w:t>
      </w:r>
      <w:bookmarkEnd w:id="12"/>
    </w:p>
    <w:p w:rsidR="000D6AEC" w:rsidRPr="00E17487" w:rsidRDefault="006A76F5" w:rsidP="000A0821">
      <w:pPr>
        <w:pStyle w:val="UnnumtextBodytext"/>
      </w:pPr>
      <w:r>
        <w:rPr>
          <w:noProof/>
          <w:lang w:eastAsia="en-NZ"/>
        </w:rPr>
        <w:drawing>
          <wp:anchor distT="0" distB="0" distL="114300" distR="114300" simplePos="0" relativeHeight="251680256" behindDoc="1" locked="0" layoutInCell="1" allowOverlap="1" wp14:anchorId="33491786" wp14:editId="16184301">
            <wp:simplePos x="0" y="0"/>
            <wp:positionH relativeFrom="column">
              <wp:posOffset>158402</wp:posOffset>
            </wp:positionH>
            <wp:positionV relativeFrom="paragraph">
              <wp:posOffset>14809</wp:posOffset>
            </wp:positionV>
            <wp:extent cx="4071667" cy="2247630"/>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71667" cy="2247630"/>
                    </a:xfrm>
                    <a:prstGeom prst="rect">
                      <a:avLst/>
                    </a:prstGeom>
                    <a:noFill/>
                  </pic:spPr>
                </pic:pic>
              </a:graphicData>
            </a:graphic>
            <wp14:sizeRelH relativeFrom="page">
              <wp14:pctWidth>0</wp14:pctWidth>
            </wp14:sizeRelH>
            <wp14:sizeRelV relativeFrom="page">
              <wp14:pctHeight>0</wp14:pctHeight>
            </wp14:sizeRelV>
          </wp:anchor>
        </w:drawing>
      </w:r>
    </w:p>
    <w:p w:rsidR="000D6AEC" w:rsidRPr="00E17487" w:rsidRDefault="000D6AEC" w:rsidP="000A0821">
      <w:pPr>
        <w:pStyle w:val="UnnumtextBodytext"/>
      </w:pPr>
    </w:p>
    <w:p w:rsidR="000D6AEC" w:rsidRPr="00E17487" w:rsidRDefault="000D6AEC" w:rsidP="000A0821">
      <w:pPr>
        <w:pStyle w:val="UnnumtextBodytext"/>
      </w:pPr>
    </w:p>
    <w:p w:rsidR="0096091B" w:rsidRPr="00E17487" w:rsidRDefault="0096091B" w:rsidP="0096091B">
      <w:pPr>
        <w:pStyle w:val="UnnumtextBodytext"/>
      </w:pPr>
    </w:p>
    <w:p w:rsidR="0096091B" w:rsidRPr="00E17487" w:rsidRDefault="0096091B">
      <w:pPr>
        <w:spacing w:after="0" w:line="240" w:lineRule="auto"/>
      </w:pPr>
      <w:r w:rsidRPr="00E17487">
        <w:br w:type="page"/>
      </w:r>
    </w:p>
    <w:p w:rsidR="00F046AB" w:rsidRPr="00E17487" w:rsidRDefault="007E51AD" w:rsidP="006B00F7">
      <w:pPr>
        <w:pStyle w:val="Heading2"/>
        <w:numPr>
          <w:ilvl w:val="0"/>
          <w:numId w:val="0"/>
        </w:numPr>
      </w:pPr>
      <w:bookmarkStart w:id="13" w:name="_Toc419469096"/>
      <w:r>
        <w:t>Scenario 2: Change in substitution</w:t>
      </w:r>
      <w:bookmarkEnd w:id="13"/>
    </w:p>
    <w:p w:rsidR="00301FAF" w:rsidRPr="00E17487" w:rsidRDefault="00301FAF" w:rsidP="00301FAF">
      <w:pPr>
        <w:pStyle w:val="Caption"/>
        <w:rPr>
          <w:sz w:val="20"/>
        </w:rPr>
      </w:pPr>
      <w:bookmarkStart w:id="14" w:name="_Toc419469102"/>
      <w:r w:rsidRPr="00E17487">
        <w:rPr>
          <w:sz w:val="20"/>
        </w:rPr>
        <w:t xml:space="preserve">Table </w:t>
      </w:r>
      <w:r w:rsidRPr="00E17487">
        <w:rPr>
          <w:sz w:val="20"/>
        </w:rPr>
        <w:fldChar w:fldCharType="begin"/>
      </w:r>
      <w:r w:rsidRPr="00E17487">
        <w:rPr>
          <w:sz w:val="20"/>
        </w:rPr>
        <w:instrText xml:space="preserve"> SEQ Table \* ARABIC </w:instrText>
      </w:r>
      <w:r w:rsidRPr="00E17487">
        <w:rPr>
          <w:sz w:val="20"/>
        </w:rPr>
        <w:fldChar w:fldCharType="separate"/>
      </w:r>
      <w:r w:rsidR="008F1633">
        <w:rPr>
          <w:noProof/>
          <w:sz w:val="20"/>
        </w:rPr>
        <w:t>3</w:t>
      </w:r>
      <w:r w:rsidRPr="00E17487">
        <w:rPr>
          <w:noProof/>
          <w:sz w:val="20"/>
        </w:rPr>
        <w:fldChar w:fldCharType="end"/>
      </w:r>
      <w:r w:rsidRPr="00E17487">
        <w:rPr>
          <w:sz w:val="20"/>
        </w:rPr>
        <w:t xml:space="preserve"> Scenario </w:t>
      </w:r>
      <w:r w:rsidR="00062AC9">
        <w:rPr>
          <w:sz w:val="20"/>
        </w:rPr>
        <w:t xml:space="preserve">2 </w:t>
      </w:r>
      <w:r w:rsidRPr="00E17487">
        <w:rPr>
          <w:sz w:val="20"/>
        </w:rPr>
        <w:t>assumptions</w:t>
      </w:r>
      <w:bookmarkEnd w:id="14"/>
    </w:p>
    <w:tbl>
      <w:tblPr>
        <w:tblStyle w:val="TableSapereGrid"/>
        <w:tblW w:w="6379" w:type="dxa"/>
        <w:tblInd w:w="392" w:type="dxa"/>
        <w:tblCellMar>
          <w:top w:w="0" w:type="dxa"/>
          <w:left w:w="57" w:type="dxa"/>
          <w:bottom w:w="0" w:type="dxa"/>
          <w:right w:w="57" w:type="dxa"/>
        </w:tblCellMar>
        <w:tblLook w:val="0620" w:firstRow="1" w:lastRow="0" w:firstColumn="0" w:lastColumn="0" w:noHBand="1" w:noVBand="1"/>
      </w:tblPr>
      <w:tblGrid>
        <w:gridCol w:w="3685"/>
        <w:gridCol w:w="2694"/>
      </w:tblGrid>
      <w:tr w:rsidR="00301FAF" w:rsidRPr="00E17487" w:rsidTr="001B579B">
        <w:trPr>
          <w:cnfStyle w:val="100000000000" w:firstRow="1" w:lastRow="0" w:firstColumn="0" w:lastColumn="0" w:oddVBand="0" w:evenVBand="0" w:oddHBand="0" w:evenHBand="0" w:firstRowFirstColumn="0" w:firstRowLastColumn="0" w:lastRowFirstColumn="0" w:lastRowLastColumn="0"/>
          <w:cantSplit/>
        </w:trPr>
        <w:tc>
          <w:tcPr>
            <w:tcW w:w="3685" w:type="dxa"/>
          </w:tcPr>
          <w:p w:rsidR="00301FAF" w:rsidRPr="00E17487" w:rsidRDefault="00301FAF" w:rsidP="00301FAF">
            <w:pPr>
              <w:pStyle w:val="Table-headingrow1"/>
              <w:rPr>
                <w:sz w:val="18"/>
              </w:rPr>
            </w:pPr>
            <w:r w:rsidRPr="00E17487">
              <w:rPr>
                <w:sz w:val="18"/>
              </w:rPr>
              <w:t>Parameter</w:t>
            </w:r>
          </w:p>
        </w:tc>
        <w:tc>
          <w:tcPr>
            <w:tcW w:w="2694" w:type="dxa"/>
          </w:tcPr>
          <w:p w:rsidR="00301FAF" w:rsidRPr="00E17487" w:rsidRDefault="00301FAF" w:rsidP="00301FAF">
            <w:pPr>
              <w:pStyle w:val="Table-headingrow1"/>
            </w:pPr>
            <w:r w:rsidRPr="00E17487">
              <w:rPr>
                <w:sz w:val="18"/>
              </w:rPr>
              <w:t>Value</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Patient uptake</w:t>
            </w:r>
          </w:p>
        </w:tc>
        <w:tc>
          <w:tcPr>
            <w:tcW w:w="2694" w:type="dxa"/>
          </w:tcPr>
          <w:p w:rsidR="00301FAF" w:rsidRPr="00E17487" w:rsidRDefault="00301FAF" w:rsidP="00301FAF">
            <w:pPr>
              <w:pStyle w:val="UnnumtextBodytext"/>
              <w:spacing w:after="0"/>
              <w:jc w:val="right"/>
              <w:rPr>
                <w:sz w:val="18"/>
              </w:rPr>
            </w:pPr>
            <w:r w:rsidRPr="00E17487">
              <w:rPr>
                <w:sz w:val="18"/>
              </w:rPr>
              <w:t>40%</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Practice Size</w:t>
            </w:r>
          </w:p>
        </w:tc>
        <w:tc>
          <w:tcPr>
            <w:tcW w:w="2694" w:type="dxa"/>
          </w:tcPr>
          <w:p w:rsidR="00301FAF" w:rsidRPr="00E17487" w:rsidRDefault="00301FAF" w:rsidP="00301FAF">
            <w:pPr>
              <w:pStyle w:val="UnnumtextBodytext"/>
              <w:spacing w:after="0"/>
              <w:jc w:val="right"/>
              <w:rPr>
                <w:sz w:val="18"/>
              </w:rPr>
            </w:pPr>
            <w:r w:rsidRPr="00E17487">
              <w:rPr>
                <w:sz w:val="18"/>
              </w:rPr>
              <w:t>5000</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Rate of substitution</w:t>
            </w:r>
          </w:p>
        </w:tc>
        <w:tc>
          <w:tcPr>
            <w:tcW w:w="2694" w:type="dxa"/>
          </w:tcPr>
          <w:p w:rsidR="00301FAF" w:rsidRPr="00E17487" w:rsidRDefault="00301FAF" w:rsidP="00301FAF">
            <w:pPr>
              <w:pStyle w:val="UnnumtextBodytext"/>
              <w:spacing w:after="0"/>
              <w:jc w:val="right"/>
              <w:rPr>
                <w:sz w:val="18"/>
              </w:rPr>
            </w:pPr>
            <w:r w:rsidRPr="00E17487">
              <w:rPr>
                <w:sz w:val="18"/>
              </w:rPr>
              <w:t>0-30%</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Clinical queries per patient</w:t>
            </w:r>
          </w:p>
        </w:tc>
        <w:tc>
          <w:tcPr>
            <w:tcW w:w="2694" w:type="dxa"/>
          </w:tcPr>
          <w:p w:rsidR="00301FAF" w:rsidRPr="00E17487" w:rsidRDefault="00301FAF" w:rsidP="00301FAF">
            <w:pPr>
              <w:pStyle w:val="UnnumtextBodytext"/>
              <w:spacing w:after="0"/>
              <w:jc w:val="right"/>
              <w:rPr>
                <w:sz w:val="18"/>
              </w:rPr>
            </w:pPr>
            <w:r w:rsidRPr="00E17487">
              <w:rPr>
                <w:sz w:val="18"/>
              </w:rPr>
              <w:t>1.5</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Time of avoided consults</w:t>
            </w:r>
          </w:p>
        </w:tc>
        <w:tc>
          <w:tcPr>
            <w:tcW w:w="2694" w:type="dxa"/>
          </w:tcPr>
          <w:p w:rsidR="00301FAF" w:rsidRPr="00E17487" w:rsidRDefault="00301FAF" w:rsidP="00301FAF">
            <w:pPr>
              <w:pStyle w:val="UnnumtextBodytext"/>
              <w:spacing w:after="0"/>
              <w:jc w:val="right"/>
              <w:rPr>
                <w:sz w:val="18"/>
              </w:rPr>
            </w:pPr>
            <w:r w:rsidRPr="00E17487">
              <w:rPr>
                <w:sz w:val="18"/>
              </w:rPr>
              <w:t>12 minutes</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Subscription fee</w:t>
            </w:r>
          </w:p>
        </w:tc>
        <w:tc>
          <w:tcPr>
            <w:tcW w:w="2694" w:type="dxa"/>
          </w:tcPr>
          <w:p w:rsidR="00301FAF" w:rsidRPr="00E17487" w:rsidRDefault="00301FAF" w:rsidP="00301FAF">
            <w:pPr>
              <w:pStyle w:val="UnnumtextBodytext"/>
              <w:spacing w:after="0"/>
              <w:jc w:val="right"/>
              <w:rPr>
                <w:sz w:val="18"/>
              </w:rPr>
            </w:pPr>
            <w:r w:rsidRPr="00E17487">
              <w:rPr>
                <w:sz w:val="18"/>
              </w:rPr>
              <w:t>$0</w:t>
            </w:r>
          </w:p>
        </w:tc>
      </w:tr>
      <w:tr w:rsidR="00301FAF" w:rsidRPr="00E17487" w:rsidTr="001B579B">
        <w:trPr>
          <w:cantSplit/>
        </w:trPr>
        <w:tc>
          <w:tcPr>
            <w:tcW w:w="3685" w:type="dxa"/>
          </w:tcPr>
          <w:p w:rsidR="00301FAF" w:rsidRPr="00E17487" w:rsidRDefault="00301FAF" w:rsidP="001B579B">
            <w:pPr>
              <w:pStyle w:val="UnnumtextBodytext"/>
              <w:spacing w:after="0"/>
              <w:rPr>
                <w:sz w:val="18"/>
              </w:rPr>
            </w:pPr>
            <w:r w:rsidRPr="00E17487">
              <w:rPr>
                <w:sz w:val="18"/>
              </w:rPr>
              <w:t>Online consultation fee</w:t>
            </w:r>
          </w:p>
        </w:tc>
        <w:tc>
          <w:tcPr>
            <w:tcW w:w="2694" w:type="dxa"/>
          </w:tcPr>
          <w:p w:rsidR="00301FAF" w:rsidRPr="00E17487" w:rsidRDefault="00301FAF" w:rsidP="00301FAF">
            <w:pPr>
              <w:pStyle w:val="UnnumtextBodytext"/>
              <w:spacing w:after="0"/>
              <w:jc w:val="right"/>
              <w:rPr>
                <w:sz w:val="18"/>
              </w:rPr>
            </w:pPr>
            <w:r w:rsidRPr="00E17487">
              <w:rPr>
                <w:sz w:val="18"/>
              </w:rPr>
              <w:t>$0</w:t>
            </w:r>
          </w:p>
        </w:tc>
      </w:tr>
      <w:tr w:rsidR="00072BBC" w:rsidRPr="00E17487" w:rsidTr="001B579B">
        <w:trPr>
          <w:cantSplit/>
        </w:trPr>
        <w:tc>
          <w:tcPr>
            <w:tcW w:w="3685" w:type="dxa"/>
          </w:tcPr>
          <w:p w:rsidR="00072BBC" w:rsidRPr="00E17487" w:rsidRDefault="00072BBC" w:rsidP="001B579B">
            <w:pPr>
              <w:pStyle w:val="UnnumtextBodytext"/>
              <w:spacing w:after="0"/>
              <w:rPr>
                <w:sz w:val="18"/>
              </w:rPr>
            </w:pPr>
            <w:r>
              <w:rPr>
                <w:sz w:val="18"/>
              </w:rPr>
              <w:t>Co-payment forgone</w:t>
            </w:r>
          </w:p>
        </w:tc>
        <w:tc>
          <w:tcPr>
            <w:tcW w:w="2694" w:type="dxa"/>
          </w:tcPr>
          <w:p w:rsidR="00072BBC" w:rsidRPr="00E17487" w:rsidRDefault="00072BBC" w:rsidP="00301FAF">
            <w:pPr>
              <w:pStyle w:val="UnnumtextBodytext"/>
              <w:spacing w:after="0"/>
              <w:jc w:val="right"/>
              <w:rPr>
                <w:sz w:val="18"/>
              </w:rPr>
            </w:pPr>
            <w:r>
              <w:rPr>
                <w:sz w:val="18"/>
              </w:rPr>
              <w:t>$30-39</w:t>
            </w:r>
          </w:p>
        </w:tc>
      </w:tr>
    </w:tbl>
    <w:p w:rsidR="00301FAF" w:rsidRPr="00E17487" w:rsidRDefault="00301FAF" w:rsidP="001B579B">
      <w:pPr>
        <w:pStyle w:val="UnnumtextBodytext"/>
      </w:pPr>
    </w:p>
    <w:p w:rsidR="001B579B" w:rsidRPr="00E17487" w:rsidRDefault="001B579B" w:rsidP="001B579B">
      <w:pPr>
        <w:pStyle w:val="UnnumtextBodytext"/>
      </w:pPr>
      <w:r w:rsidRPr="00E17487">
        <w:t>Increasi</w:t>
      </w:r>
      <w:r w:rsidR="00B84675" w:rsidRPr="00E17487">
        <w:t>ng the rate of substitution put</w:t>
      </w:r>
      <w:r w:rsidRPr="00E17487">
        <w:t xml:space="preserve"> downward pressure on the </w:t>
      </w:r>
      <w:r w:rsidR="00C26752">
        <w:t>increased</w:t>
      </w:r>
      <w:r w:rsidRPr="00E17487">
        <w:t xml:space="preserve"> GP FTE</w:t>
      </w:r>
      <w:r w:rsidR="00C26752">
        <w:t xml:space="preserve"> driven by adopting the portal</w:t>
      </w:r>
      <w:r w:rsidRPr="00E17487">
        <w:t xml:space="preserve">. </w:t>
      </w:r>
      <w:r w:rsidR="00E17487">
        <w:t xml:space="preserve">For </w:t>
      </w:r>
      <w:r w:rsidR="00FE39F1" w:rsidRPr="00E17487">
        <w:t>a 5000 patient practice with 40% uptake:</w:t>
      </w:r>
    </w:p>
    <w:p w:rsidR="00FE39F1" w:rsidRPr="00E17487" w:rsidRDefault="007E3E40" w:rsidP="00FE39F1">
      <w:pPr>
        <w:pStyle w:val="UnnumtextBullet1"/>
      </w:pPr>
      <w:r w:rsidRPr="00E17487">
        <w:t>Zero percent substitution caused a 0.138 FTE increase</w:t>
      </w:r>
    </w:p>
    <w:p w:rsidR="00FE39F1" w:rsidRPr="00E17487" w:rsidRDefault="007E3E40" w:rsidP="00FE39F1">
      <w:pPr>
        <w:pStyle w:val="UnnumtextBullet1"/>
      </w:pPr>
      <w:r w:rsidRPr="00E17487">
        <w:t>10 percent substitution caused a 0.105 FTE increase</w:t>
      </w:r>
    </w:p>
    <w:p w:rsidR="00FE39F1" w:rsidRPr="00E17487" w:rsidRDefault="007E3E40" w:rsidP="00FE39F1">
      <w:pPr>
        <w:pStyle w:val="UnnumtextBullet1"/>
      </w:pPr>
      <w:r w:rsidRPr="00E17487">
        <w:t>20 percent substitution caused a 0.072 FTE increase</w:t>
      </w:r>
    </w:p>
    <w:p w:rsidR="00FE39F1" w:rsidRPr="00E17487" w:rsidRDefault="007E3E40" w:rsidP="00FE39F1">
      <w:pPr>
        <w:pStyle w:val="UnnumtextBullet1"/>
        <w:spacing w:after="170"/>
      </w:pPr>
      <w:r w:rsidRPr="00E17487">
        <w:t>30 percent substitution caused a 0.040 FTE increase</w:t>
      </w:r>
    </w:p>
    <w:p w:rsidR="007E3E40" w:rsidRPr="00E17487" w:rsidRDefault="00FE39F1" w:rsidP="00FE39F1">
      <w:pPr>
        <w:pStyle w:val="UnnumtextBodytext"/>
      </w:pPr>
      <w:r w:rsidRPr="00E17487">
        <w:t xml:space="preserve">Interestingly net gains marginally increase for higher rates of substitution. This implies that the value of GP time released from a greater number of avoided in-person consults outweighs the foregone fee revenue. </w:t>
      </w:r>
    </w:p>
    <w:p w:rsidR="00FE39F1" w:rsidRPr="00E17487" w:rsidRDefault="007E3E40" w:rsidP="00FE39F1">
      <w:pPr>
        <w:pStyle w:val="UnnumtextBodytext"/>
      </w:pPr>
      <w:r w:rsidRPr="00E17487">
        <w:t>Concerns practices may struggle financially through l</w:t>
      </w:r>
      <w:r w:rsidR="003766FD">
        <w:t>ost fee revenue are not supported</w:t>
      </w:r>
      <w:r w:rsidR="001D740E">
        <w:t>,</w:t>
      </w:r>
      <w:r w:rsidRPr="00E17487">
        <w:t xml:space="preserve"> as long as practices can meaningfully utilise the released GP resources. Further these results suggest practices can tailor how actively they encourage their patient</w:t>
      </w:r>
      <w:r w:rsidR="001B320A">
        <w:t>s</w:t>
      </w:r>
      <w:r w:rsidRPr="00E17487">
        <w:t xml:space="preserve"> to engage in online clinical queries rather than in-person consults to suit their model of care without financial repercussions</w:t>
      </w:r>
      <w:r w:rsidR="003766FD">
        <w:t>.</w:t>
      </w:r>
    </w:p>
    <w:p w:rsidR="00A57188" w:rsidRPr="00E17487" w:rsidRDefault="00A57188" w:rsidP="001B579B">
      <w:pPr>
        <w:pStyle w:val="UnnumtextBodytext"/>
      </w:pPr>
    </w:p>
    <w:p w:rsidR="00A57188" w:rsidRPr="00E17487" w:rsidRDefault="00CB6472" w:rsidP="00CB6472">
      <w:pPr>
        <w:pStyle w:val="Caption"/>
        <w:rPr>
          <w:sz w:val="20"/>
        </w:rPr>
      </w:pPr>
      <w:bookmarkStart w:id="15" w:name="_Toc419469106"/>
      <w:r w:rsidRPr="00E17487">
        <w:rPr>
          <w:sz w:val="20"/>
        </w:rPr>
        <w:t xml:space="preserve">Figure </w:t>
      </w:r>
      <w:r w:rsidRPr="00E17487">
        <w:rPr>
          <w:sz w:val="20"/>
        </w:rPr>
        <w:fldChar w:fldCharType="begin"/>
      </w:r>
      <w:r w:rsidRPr="00E17487">
        <w:rPr>
          <w:sz w:val="20"/>
        </w:rPr>
        <w:instrText xml:space="preserve"> SEQ Figure \* ARABIC </w:instrText>
      </w:r>
      <w:r w:rsidRPr="00E17487">
        <w:rPr>
          <w:sz w:val="20"/>
        </w:rPr>
        <w:fldChar w:fldCharType="separate"/>
      </w:r>
      <w:r w:rsidR="008F1633">
        <w:rPr>
          <w:noProof/>
          <w:sz w:val="20"/>
        </w:rPr>
        <w:t>2</w:t>
      </w:r>
      <w:r w:rsidRPr="00E17487">
        <w:rPr>
          <w:sz w:val="20"/>
        </w:rPr>
        <w:fldChar w:fldCharType="end"/>
      </w:r>
      <w:r w:rsidRPr="00E17487">
        <w:rPr>
          <w:sz w:val="20"/>
        </w:rPr>
        <w:t xml:space="preserve"> Change in GP FTE conditional on the rate of substitution</w:t>
      </w:r>
      <w:bookmarkEnd w:id="15"/>
    </w:p>
    <w:p w:rsidR="00A57188" w:rsidRPr="00E17487" w:rsidRDefault="00CB6472" w:rsidP="00301FAF">
      <w:pPr>
        <w:pStyle w:val="Whitespace"/>
      </w:pPr>
      <w:r w:rsidRPr="00E17487">
        <w:rPr>
          <w:noProof/>
          <w:lang w:eastAsia="en-NZ"/>
        </w:rPr>
        <w:drawing>
          <wp:anchor distT="0" distB="0" distL="114300" distR="114300" simplePos="0" relativeHeight="251675136" behindDoc="1" locked="0" layoutInCell="1" allowOverlap="1" wp14:anchorId="67D718EF" wp14:editId="41E4819C">
            <wp:simplePos x="0" y="0"/>
            <wp:positionH relativeFrom="column">
              <wp:posOffset>425821</wp:posOffset>
            </wp:positionH>
            <wp:positionV relativeFrom="paragraph">
              <wp:posOffset>43755</wp:posOffset>
            </wp:positionV>
            <wp:extent cx="3700732" cy="2169314"/>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0469" cy="2169160"/>
                    </a:xfrm>
                    <a:prstGeom prst="rect">
                      <a:avLst/>
                    </a:prstGeom>
                    <a:noFill/>
                  </pic:spPr>
                </pic:pic>
              </a:graphicData>
            </a:graphic>
            <wp14:sizeRelH relativeFrom="page">
              <wp14:pctWidth>0</wp14:pctWidth>
            </wp14:sizeRelH>
            <wp14:sizeRelV relativeFrom="page">
              <wp14:pctHeight>0</wp14:pctHeight>
            </wp14:sizeRelV>
          </wp:anchor>
        </w:drawing>
      </w: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CB6472" w:rsidP="00CB6472">
      <w:pPr>
        <w:pStyle w:val="Caption"/>
        <w:rPr>
          <w:sz w:val="20"/>
          <w:szCs w:val="20"/>
        </w:rPr>
      </w:pPr>
      <w:bookmarkStart w:id="16" w:name="_Toc419469107"/>
      <w:r w:rsidRPr="00E17487">
        <w:rPr>
          <w:noProof/>
          <w:lang w:eastAsia="en-NZ"/>
        </w:rPr>
        <w:drawing>
          <wp:anchor distT="0" distB="0" distL="114300" distR="114300" simplePos="0" relativeHeight="251674112" behindDoc="1" locked="0" layoutInCell="1" allowOverlap="1" wp14:anchorId="60CB74F5" wp14:editId="7852C7A6">
            <wp:simplePos x="0" y="0"/>
            <wp:positionH relativeFrom="column">
              <wp:posOffset>54886</wp:posOffset>
            </wp:positionH>
            <wp:positionV relativeFrom="paragraph">
              <wp:posOffset>227246</wp:posOffset>
            </wp:positionV>
            <wp:extent cx="4045788" cy="22942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5763" cy="2294255"/>
                    </a:xfrm>
                    <a:prstGeom prst="rect">
                      <a:avLst/>
                    </a:prstGeom>
                    <a:noFill/>
                  </pic:spPr>
                </pic:pic>
              </a:graphicData>
            </a:graphic>
            <wp14:sizeRelH relativeFrom="page">
              <wp14:pctWidth>0</wp14:pctWidth>
            </wp14:sizeRelH>
            <wp14:sizeRelV relativeFrom="page">
              <wp14:pctHeight>0</wp14:pctHeight>
            </wp14:sizeRelV>
          </wp:anchor>
        </w:drawing>
      </w:r>
      <w:r w:rsidRPr="00E17487">
        <w:rPr>
          <w:sz w:val="20"/>
          <w:szCs w:val="20"/>
        </w:rPr>
        <w:t xml:space="preserve">Figure </w:t>
      </w:r>
      <w:r w:rsidRPr="00E17487">
        <w:rPr>
          <w:sz w:val="20"/>
          <w:szCs w:val="20"/>
        </w:rPr>
        <w:fldChar w:fldCharType="begin"/>
      </w:r>
      <w:r w:rsidRPr="00E17487">
        <w:rPr>
          <w:sz w:val="20"/>
          <w:szCs w:val="20"/>
        </w:rPr>
        <w:instrText xml:space="preserve"> SEQ Figure \* ARABIC </w:instrText>
      </w:r>
      <w:r w:rsidRPr="00E17487">
        <w:rPr>
          <w:sz w:val="20"/>
          <w:szCs w:val="20"/>
        </w:rPr>
        <w:fldChar w:fldCharType="separate"/>
      </w:r>
      <w:r w:rsidR="008F1633">
        <w:rPr>
          <w:noProof/>
          <w:sz w:val="20"/>
          <w:szCs w:val="20"/>
        </w:rPr>
        <w:t>3</w:t>
      </w:r>
      <w:r w:rsidRPr="00E17487">
        <w:rPr>
          <w:sz w:val="20"/>
          <w:szCs w:val="20"/>
        </w:rPr>
        <w:fldChar w:fldCharType="end"/>
      </w:r>
      <w:r w:rsidRPr="00E17487">
        <w:rPr>
          <w:sz w:val="20"/>
          <w:szCs w:val="20"/>
        </w:rPr>
        <w:t xml:space="preserve"> Change in net gains conditional on the rate of substitution</w:t>
      </w:r>
      <w:bookmarkEnd w:id="16"/>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A57188" w:rsidRPr="00E17487" w:rsidRDefault="00A57188" w:rsidP="00301FAF">
      <w:pPr>
        <w:pStyle w:val="Whitespace"/>
      </w:pPr>
    </w:p>
    <w:p w:rsidR="00F57B52" w:rsidRPr="00E17487" w:rsidRDefault="007E51AD" w:rsidP="00301FAF">
      <w:pPr>
        <w:pStyle w:val="Heading2"/>
        <w:numPr>
          <w:ilvl w:val="0"/>
          <w:numId w:val="0"/>
        </w:numPr>
      </w:pPr>
      <w:bookmarkStart w:id="17" w:name="_Toc419469097"/>
      <w:r>
        <w:t>Scenario 3: Change in “clinical queries”</w:t>
      </w:r>
      <w:bookmarkEnd w:id="17"/>
    </w:p>
    <w:p w:rsidR="001B7CE7" w:rsidRPr="00E17487" w:rsidRDefault="001B7CE7" w:rsidP="001B7CE7">
      <w:pPr>
        <w:pStyle w:val="Caption"/>
        <w:rPr>
          <w:sz w:val="20"/>
        </w:rPr>
      </w:pPr>
      <w:bookmarkStart w:id="18" w:name="_Toc419469103"/>
      <w:r w:rsidRPr="00E17487">
        <w:rPr>
          <w:sz w:val="20"/>
        </w:rPr>
        <w:t xml:space="preserve">Table </w:t>
      </w:r>
      <w:r w:rsidRPr="00E17487">
        <w:rPr>
          <w:sz w:val="20"/>
        </w:rPr>
        <w:fldChar w:fldCharType="begin"/>
      </w:r>
      <w:r w:rsidRPr="00E17487">
        <w:rPr>
          <w:sz w:val="20"/>
        </w:rPr>
        <w:instrText xml:space="preserve"> SEQ Table \* ARABIC </w:instrText>
      </w:r>
      <w:r w:rsidRPr="00E17487">
        <w:rPr>
          <w:sz w:val="20"/>
        </w:rPr>
        <w:fldChar w:fldCharType="separate"/>
      </w:r>
      <w:r w:rsidR="008F1633">
        <w:rPr>
          <w:noProof/>
          <w:sz w:val="20"/>
        </w:rPr>
        <w:t>4</w:t>
      </w:r>
      <w:r w:rsidRPr="00E17487">
        <w:rPr>
          <w:noProof/>
          <w:sz w:val="20"/>
        </w:rPr>
        <w:fldChar w:fldCharType="end"/>
      </w:r>
      <w:r w:rsidRPr="00E17487">
        <w:rPr>
          <w:sz w:val="20"/>
        </w:rPr>
        <w:t xml:space="preserve"> Scenario </w:t>
      </w:r>
      <w:r w:rsidR="00062AC9">
        <w:rPr>
          <w:sz w:val="20"/>
        </w:rPr>
        <w:t xml:space="preserve">3 </w:t>
      </w:r>
      <w:r w:rsidRPr="00E17487">
        <w:rPr>
          <w:sz w:val="20"/>
        </w:rPr>
        <w:t>assumptions</w:t>
      </w:r>
      <w:bookmarkEnd w:id="18"/>
    </w:p>
    <w:tbl>
      <w:tblPr>
        <w:tblStyle w:val="TableSapereGrid"/>
        <w:tblW w:w="6379" w:type="dxa"/>
        <w:tblInd w:w="392" w:type="dxa"/>
        <w:tblCellMar>
          <w:top w:w="0" w:type="dxa"/>
          <w:left w:w="57" w:type="dxa"/>
          <w:bottom w:w="0" w:type="dxa"/>
          <w:right w:w="57" w:type="dxa"/>
        </w:tblCellMar>
        <w:tblLook w:val="0620" w:firstRow="1" w:lastRow="0" w:firstColumn="0" w:lastColumn="0" w:noHBand="1" w:noVBand="1"/>
      </w:tblPr>
      <w:tblGrid>
        <w:gridCol w:w="3685"/>
        <w:gridCol w:w="2694"/>
      </w:tblGrid>
      <w:tr w:rsidR="001B7CE7" w:rsidRPr="00E17487" w:rsidTr="00D159C4">
        <w:trPr>
          <w:cnfStyle w:val="100000000000" w:firstRow="1" w:lastRow="0" w:firstColumn="0" w:lastColumn="0" w:oddVBand="0" w:evenVBand="0" w:oddHBand="0" w:evenHBand="0" w:firstRowFirstColumn="0" w:firstRowLastColumn="0" w:lastRowFirstColumn="0" w:lastRowLastColumn="0"/>
          <w:cantSplit/>
        </w:trPr>
        <w:tc>
          <w:tcPr>
            <w:tcW w:w="3685" w:type="dxa"/>
          </w:tcPr>
          <w:p w:rsidR="001B7CE7" w:rsidRPr="00E17487" w:rsidRDefault="001B7CE7" w:rsidP="00216CA3">
            <w:pPr>
              <w:pStyle w:val="Table-headingrow1"/>
              <w:rPr>
                <w:sz w:val="18"/>
              </w:rPr>
            </w:pPr>
            <w:r w:rsidRPr="00E17487">
              <w:rPr>
                <w:sz w:val="18"/>
              </w:rPr>
              <w:t>Parameter</w:t>
            </w:r>
          </w:p>
        </w:tc>
        <w:tc>
          <w:tcPr>
            <w:tcW w:w="2694" w:type="dxa"/>
          </w:tcPr>
          <w:p w:rsidR="001B7CE7" w:rsidRPr="00E17487" w:rsidRDefault="001B7CE7" w:rsidP="00216CA3">
            <w:pPr>
              <w:pStyle w:val="Table-headingrow1"/>
            </w:pPr>
            <w:r w:rsidRPr="00E17487">
              <w:rPr>
                <w:sz w:val="18"/>
              </w:rPr>
              <w:t>Value</w:t>
            </w:r>
          </w:p>
        </w:tc>
      </w:tr>
      <w:tr w:rsidR="001B7CE7" w:rsidRPr="00E17487" w:rsidTr="00D159C4">
        <w:trPr>
          <w:cantSplit/>
        </w:trPr>
        <w:tc>
          <w:tcPr>
            <w:tcW w:w="3685" w:type="dxa"/>
            <w:vAlign w:val="center"/>
          </w:tcPr>
          <w:p w:rsidR="001B7CE7" w:rsidRPr="00E17487" w:rsidRDefault="001B7CE7" w:rsidP="00216CA3">
            <w:pPr>
              <w:pStyle w:val="UnnumtextBodytext"/>
              <w:spacing w:after="0"/>
              <w:rPr>
                <w:sz w:val="18"/>
              </w:rPr>
            </w:pPr>
            <w:r w:rsidRPr="00E17487">
              <w:rPr>
                <w:sz w:val="18"/>
              </w:rPr>
              <w:t>Patient uptake</w:t>
            </w:r>
          </w:p>
        </w:tc>
        <w:tc>
          <w:tcPr>
            <w:tcW w:w="2694" w:type="dxa"/>
          </w:tcPr>
          <w:p w:rsidR="001B7CE7" w:rsidRPr="00E17487" w:rsidRDefault="001B7CE7" w:rsidP="00216CA3">
            <w:pPr>
              <w:pStyle w:val="UnnumtextBodytext"/>
              <w:spacing w:after="0"/>
              <w:jc w:val="right"/>
              <w:rPr>
                <w:sz w:val="18"/>
              </w:rPr>
            </w:pPr>
            <w:r w:rsidRPr="00E17487">
              <w:rPr>
                <w:sz w:val="18"/>
              </w:rPr>
              <w:t>40%</w:t>
            </w:r>
          </w:p>
        </w:tc>
      </w:tr>
      <w:tr w:rsidR="001B7CE7" w:rsidRPr="00E17487" w:rsidTr="00D159C4">
        <w:trPr>
          <w:cantSplit/>
        </w:trPr>
        <w:tc>
          <w:tcPr>
            <w:tcW w:w="3685" w:type="dxa"/>
            <w:vAlign w:val="center"/>
          </w:tcPr>
          <w:p w:rsidR="001B7CE7" w:rsidRPr="00E17487" w:rsidRDefault="001B7CE7" w:rsidP="00216CA3">
            <w:pPr>
              <w:pStyle w:val="UnnumtextBodytext"/>
              <w:spacing w:after="0"/>
              <w:rPr>
                <w:sz w:val="18"/>
              </w:rPr>
            </w:pPr>
            <w:r w:rsidRPr="00E17487">
              <w:rPr>
                <w:sz w:val="18"/>
              </w:rPr>
              <w:t>Practice Size</w:t>
            </w:r>
          </w:p>
        </w:tc>
        <w:tc>
          <w:tcPr>
            <w:tcW w:w="2694" w:type="dxa"/>
          </w:tcPr>
          <w:p w:rsidR="001B7CE7" w:rsidRPr="00E17487" w:rsidRDefault="001B7CE7" w:rsidP="00216CA3">
            <w:pPr>
              <w:pStyle w:val="UnnumtextBodytext"/>
              <w:spacing w:after="0"/>
              <w:jc w:val="right"/>
              <w:rPr>
                <w:sz w:val="18"/>
              </w:rPr>
            </w:pPr>
            <w:r w:rsidRPr="00E17487">
              <w:rPr>
                <w:sz w:val="18"/>
              </w:rPr>
              <w:t>5000</w:t>
            </w:r>
          </w:p>
        </w:tc>
      </w:tr>
      <w:tr w:rsidR="001B7CE7" w:rsidRPr="00E17487" w:rsidTr="00D159C4">
        <w:trPr>
          <w:cantSplit/>
        </w:trPr>
        <w:tc>
          <w:tcPr>
            <w:tcW w:w="3685" w:type="dxa"/>
            <w:vAlign w:val="center"/>
          </w:tcPr>
          <w:p w:rsidR="001B7CE7" w:rsidRPr="00E17487" w:rsidRDefault="001B7CE7" w:rsidP="00216CA3">
            <w:pPr>
              <w:pStyle w:val="UnnumtextBodytext"/>
              <w:spacing w:after="0"/>
              <w:rPr>
                <w:sz w:val="18"/>
              </w:rPr>
            </w:pPr>
            <w:r w:rsidRPr="00E17487">
              <w:rPr>
                <w:sz w:val="18"/>
              </w:rPr>
              <w:t>Rate of substitution</w:t>
            </w:r>
          </w:p>
        </w:tc>
        <w:tc>
          <w:tcPr>
            <w:tcW w:w="2694" w:type="dxa"/>
          </w:tcPr>
          <w:p w:rsidR="001B7CE7" w:rsidRPr="00E17487" w:rsidRDefault="00F7041D" w:rsidP="00216CA3">
            <w:pPr>
              <w:pStyle w:val="UnnumtextBodytext"/>
              <w:spacing w:after="0"/>
              <w:jc w:val="right"/>
              <w:rPr>
                <w:sz w:val="18"/>
              </w:rPr>
            </w:pPr>
            <w:r w:rsidRPr="00E17487">
              <w:rPr>
                <w:sz w:val="18"/>
              </w:rPr>
              <w:t>10%</w:t>
            </w:r>
          </w:p>
        </w:tc>
      </w:tr>
      <w:tr w:rsidR="001B7CE7" w:rsidRPr="00E17487" w:rsidTr="00D159C4">
        <w:trPr>
          <w:cantSplit/>
        </w:trPr>
        <w:tc>
          <w:tcPr>
            <w:tcW w:w="3685" w:type="dxa"/>
            <w:vAlign w:val="center"/>
          </w:tcPr>
          <w:p w:rsidR="001B7CE7" w:rsidRPr="00E17487" w:rsidRDefault="001B7CE7" w:rsidP="00216CA3">
            <w:pPr>
              <w:pStyle w:val="UnnumtextBodytext"/>
              <w:spacing w:after="0"/>
              <w:rPr>
                <w:sz w:val="18"/>
              </w:rPr>
            </w:pPr>
            <w:r w:rsidRPr="00E17487">
              <w:rPr>
                <w:sz w:val="18"/>
              </w:rPr>
              <w:t>Clinical queries per patient</w:t>
            </w:r>
          </w:p>
        </w:tc>
        <w:tc>
          <w:tcPr>
            <w:tcW w:w="2694" w:type="dxa"/>
          </w:tcPr>
          <w:p w:rsidR="001B7CE7" w:rsidRPr="00E17487" w:rsidRDefault="00F7041D" w:rsidP="00216CA3">
            <w:pPr>
              <w:pStyle w:val="UnnumtextBodytext"/>
              <w:spacing w:after="0"/>
              <w:jc w:val="right"/>
              <w:rPr>
                <w:sz w:val="18"/>
              </w:rPr>
            </w:pPr>
            <w:r w:rsidRPr="00E17487">
              <w:rPr>
                <w:sz w:val="18"/>
              </w:rPr>
              <w:t>1-2</w:t>
            </w:r>
          </w:p>
        </w:tc>
      </w:tr>
      <w:tr w:rsidR="001B7CE7" w:rsidRPr="00E17487" w:rsidTr="00D159C4">
        <w:trPr>
          <w:cantSplit/>
        </w:trPr>
        <w:tc>
          <w:tcPr>
            <w:tcW w:w="3685" w:type="dxa"/>
          </w:tcPr>
          <w:p w:rsidR="001B7CE7" w:rsidRPr="00E17487" w:rsidRDefault="001B7CE7" w:rsidP="00216CA3">
            <w:pPr>
              <w:pStyle w:val="UnnumtextBodytext"/>
              <w:spacing w:after="0"/>
              <w:rPr>
                <w:sz w:val="18"/>
              </w:rPr>
            </w:pPr>
            <w:r w:rsidRPr="00E17487">
              <w:rPr>
                <w:sz w:val="18"/>
              </w:rPr>
              <w:t>Time of avoided consults</w:t>
            </w:r>
          </w:p>
        </w:tc>
        <w:tc>
          <w:tcPr>
            <w:tcW w:w="2694" w:type="dxa"/>
          </w:tcPr>
          <w:p w:rsidR="001B7CE7" w:rsidRPr="00E17487" w:rsidRDefault="001B7CE7" w:rsidP="00216CA3">
            <w:pPr>
              <w:pStyle w:val="UnnumtextBodytext"/>
              <w:spacing w:after="0"/>
              <w:jc w:val="right"/>
              <w:rPr>
                <w:sz w:val="18"/>
              </w:rPr>
            </w:pPr>
            <w:r w:rsidRPr="00E17487">
              <w:rPr>
                <w:sz w:val="18"/>
              </w:rPr>
              <w:t>12 minutes</w:t>
            </w:r>
          </w:p>
        </w:tc>
      </w:tr>
      <w:tr w:rsidR="001B7CE7" w:rsidRPr="00E17487" w:rsidTr="00D159C4">
        <w:trPr>
          <w:cantSplit/>
        </w:trPr>
        <w:tc>
          <w:tcPr>
            <w:tcW w:w="3685" w:type="dxa"/>
          </w:tcPr>
          <w:p w:rsidR="001B7CE7" w:rsidRPr="00E17487" w:rsidRDefault="001B7CE7" w:rsidP="00216CA3">
            <w:pPr>
              <w:pStyle w:val="UnnumtextBodytext"/>
              <w:spacing w:after="0"/>
              <w:rPr>
                <w:sz w:val="18"/>
              </w:rPr>
            </w:pPr>
            <w:r w:rsidRPr="00E17487">
              <w:rPr>
                <w:sz w:val="18"/>
              </w:rPr>
              <w:t>Subscription fee</w:t>
            </w:r>
          </w:p>
        </w:tc>
        <w:tc>
          <w:tcPr>
            <w:tcW w:w="2694" w:type="dxa"/>
          </w:tcPr>
          <w:p w:rsidR="001B7CE7" w:rsidRPr="00E17487" w:rsidRDefault="001B7CE7" w:rsidP="00216CA3">
            <w:pPr>
              <w:pStyle w:val="UnnumtextBodytext"/>
              <w:spacing w:after="0"/>
              <w:jc w:val="right"/>
              <w:rPr>
                <w:sz w:val="18"/>
              </w:rPr>
            </w:pPr>
            <w:r w:rsidRPr="00E17487">
              <w:rPr>
                <w:sz w:val="18"/>
              </w:rPr>
              <w:t>$0</w:t>
            </w:r>
          </w:p>
        </w:tc>
      </w:tr>
      <w:tr w:rsidR="001B7CE7" w:rsidRPr="00E17487" w:rsidTr="00D159C4">
        <w:trPr>
          <w:cantSplit/>
        </w:trPr>
        <w:tc>
          <w:tcPr>
            <w:tcW w:w="3685" w:type="dxa"/>
          </w:tcPr>
          <w:p w:rsidR="001B7CE7" w:rsidRPr="00E17487" w:rsidRDefault="001B7CE7" w:rsidP="00216CA3">
            <w:pPr>
              <w:pStyle w:val="UnnumtextBodytext"/>
              <w:spacing w:after="0"/>
              <w:rPr>
                <w:sz w:val="18"/>
              </w:rPr>
            </w:pPr>
            <w:r w:rsidRPr="00E17487">
              <w:rPr>
                <w:sz w:val="18"/>
              </w:rPr>
              <w:t>Online consultation fee</w:t>
            </w:r>
          </w:p>
        </w:tc>
        <w:tc>
          <w:tcPr>
            <w:tcW w:w="2694" w:type="dxa"/>
          </w:tcPr>
          <w:p w:rsidR="001B7CE7" w:rsidRPr="00E17487" w:rsidRDefault="001B7CE7" w:rsidP="00216CA3">
            <w:pPr>
              <w:pStyle w:val="UnnumtextBodytext"/>
              <w:spacing w:after="0"/>
              <w:jc w:val="right"/>
              <w:rPr>
                <w:sz w:val="18"/>
              </w:rPr>
            </w:pPr>
            <w:r w:rsidRPr="00E17487">
              <w:rPr>
                <w:sz w:val="18"/>
              </w:rPr>
              <w:t>$0</w:t>
            </w:r>
          </w:p>
        </w:tc>
      </w:tr>
      <w:tr w:rsidR="00072BBC" w:rsidRPr="00E17487" w:rsidTr="00D159C4">
        <w:trPr>
          <w:cantSplit/>
        </w:trPr>
        <w:tc>
          <w:tcPr>
            <w:tcW w:w="3685" w:type="dxa"/>
          </w:tcPr>
          <w:p w:rsidR="00072BBC" w:rsidRPr="00E17487" w:rsidRDefault="00072BBC" w:rsidP="00072BBC">
            <w:pPr>
              <w:pStyle w:val="UnnumtextBodytext"/>
              <w:spacing w:after="0"/>
              <w:rPr>
                <w:sz w:val="18"/>
              </w:rPr>
            </w:pPr>
            <w:r>
              <w:rPr>
                <w:sz w:val="18"/>
              </w:rPr>
              <w:t>Co-payment forgone</w:t>
            </w:r>
          </w:p>
        </w:tc>
        <w:tc>
          <w:tcPr>
            <w:tcW w:w="2694" w:type="dxa"/>
          </w:tcPr>
          <w:p w:rsidR="00072BBC" w:rsidRPr="00E17487" w:rsidRDefault="00072BBC" w:rsidP="00216CA3">
            <w:pPr>
              <w:pStyle w:val="UnnumtextBodytext"/>
              <w:spacing w:after="0"/>
              <w:jc w:val="right"/>
              <w:rPr>
                <w:sz w:val="18"/>
              </w:rPr>
            </w:pPr>
            <w:r>
              <w:rPr>
                <w:sz w:val="18"/>
              </w:rPr>
              <w:t>$30-39</w:t>
            </w:r>
          </w:p>
        </w:tc>
      </w:tr>
    </w:tbl>
    <w:p w:rsidR="001B7CE7" w:rsidRPr="00E17487" w:rsidRDefault="001B7CE7" w:rsidP="001B7CE7">
      <w:pPr>
        <w:pStyle w:val="Caption"/>
        <w:rPr>
          <w:sz w:val="20"/>
        </w:rPr>
      </w:pPr>
    </w:p>
    <w:p w:rsidR="00E17487" w:rsidRDefault="00D159C4" w:rsidP="00D159C4">
      <w:pPr>
        <w:pStyle w:val="UnnumtextBodytext"/>
      </w:pPr>
      <w:r w:rsidRPr="00E17487">
        <w:t xml:space="preserve">The number </w:t>
      </w:r>
      <w:r w:rsidR="00E17487" w:rsidRPr="00E17487">
        <w:t xml:space="preserve">of clinical </w:t>
      </w:r>
      <w:r w:rsidR="00E17487">
        <w:t>queries per patient has a considerable effect on both required GP FTE and net monetary gains. For a 5000 patient practice with 40% uptake, increasing the number of clinical queries per patient by 0.5 caused:</w:t>
      </w:r>
    </w:p>
    <w:p w:rsidR="00FE39F1" w:rsidRDefault="00B24AAE" w:rsidP="00E17487">
      <w:pPr>
        <w:pStyle w:val="UnnumtextBullet1"/>
      </w:pPr>
      <w:r>
        <w:t>GP FTE to increase by 0.037</w:t>
      </w:r>
    </w:p>
    <w:p w:rsidR="00E17487" w:rsidRDefault="00B24AAE" w:rsidP="00E17487">
      <w:pPr>
        <w:pStyle w:val="UnnumtextBullet1"/>
        <w:spacing w:after="170"/>
      </w:pPr>
      <w:r>
        <w:t xml:space="preserve">Net gains to decrease by $10,057 </w:t>
      </w:r>
    </w:p>
    <w:p w:rsidR="00B24AAE" w:rsidRDefault="00B24AAE" w:rsidP="00E17487">
      <w:pPr>
        <w:pStyle w:val="UnnumtextBodytext"/>
      </w:pPr>
      <w:r>
        <w:t>The disparity in outcomes for general practices</w:t>
      </w:r>
      <w:r w:rsidR="00AA01B4">
        <w:t xml:space="preserve"> </w:t>
      </w:r>
      <w:r>
        <w:t xml:space="preserve">increases with </w:t>
      </w:r>
      <w:r w:rsidR="00AA01B4">
        <w:t xml:space="preserve">patient </w:t>
      </w:r>
      <w:r>
        <w:t>uptake</w:t>
      </w:r>
      <w:r w:rsidR="008B51F8">
        <w:t>.</w:t>
      </w:r>
    </w:p>
    <w:p w:rsidR="00E17487" w:rsidRPr="00E17487" w:rsidRDefault="00B24AAE" w:rsidP="00E17487">
      <w:pPr>
        <w:pStyle w:val="UnnumtextBodytext"/>
      </w:pPr>
      <w:r>
        <w:t>Consequently</w:t>
      </w:r>
      <w:r w:rsidR="001D740E">
        <w:t>,</w:t>
      </w:r>
      <w:r>
        <w:t xml:space="preserve"> substitution in GP workload is crucial to counteract the adverse effects for general practices from high volumes of clinical queries. This is explored in detail in the </w:t>
      </w:r>
      <w:r w:rsidR="001D740E">
        <w:t xml:space="preserve">full </w:t>
      </w:r>
      <w:r>
        <w:t xml:space="preserve">report. </w:t>
      </w:r>
    </w:p>
    <w:p w:rsidR="00D159C4" w:rsidRPr="00E17487" w:rsidRDefault="00D159C4" w:rsidP="00D159C4">
      <w:pPr>
        <w:pStyle w:val="UnnumtextBodytext"/>
      </w:pPr>
    </w:p>
    <w:p w:rsidR="00D159C4" w:rsidRPr="00E17487" w:rsidRDefault="00D159C4" w:rsidP="00D159C4">
      <w:pPr>
        <w:pStyle w:val="UnnumtextBodytext"/>
      </w:pPr>
    </w:p>
    <w:p w:rsidR="00D159C4" w:rsidRPr="00E17487" w:rsidRDefault="00D159C4" w:rsidP="00D159C4">
      <w:pPr>
        <w:pStyle w:val="UnnumtextBodytext"/>
      </w:pPr>
    </w:p>
    <w:p w:rsidR="00D159C4" w:rsidRPr="00E17487" w:rsidRDefault="00D159C4" w:rsidP="00D159C4">
      <w:pPr>
        <w:pStyle w:val="UnnumtextBodytext"/>
      </w:pPr>
    </w:p>
    <w:p w:rsidR="00D159C4" w:rsidRPr="00E17487" w:rsidRDefault="00D159C4" w:rsidP="00D159C4">
      <w:pPr>
        <w:pStyle w:val="UnnumtextBodytext"/>
      </w:pPr>
    </w:p>
    <w:p w:rsidR="00F30305" w:rsidRPr="00E17487" w:rsidRDefault="00214BF4" w:rsidP="00214BF4">
      <w:pPr>
        <w:pStyle w:val="Caption"/>
        <w:rPr>
          <w:sz w:val="20"/>
        </w:rPr>
      </w:pPr>
      <w:bookmarkStart w:id="19" w:name="_Toc419469108"/>
      <w:r w:rsidRPr="00E17487">
        <w:rPr>
          <w:noProof/>
          <w:lang w:eastAsia="en-NZ"/>
        </w:rPr>
        <w:drawing>
          <wp:anchor distT="0" distB="0" distL="114300" distR="114300" simplePos="0" relativeHeight="251676160" behindDoc="1" locked="0" layoutInCell="1" allowOverlap="1" wp14:anchorId="1AC213AF" wp14:editId="2279D51A">
            <wp:simplePos x="0" y="0"/>
            <wp:positionH relativeFrom="column">
              <wp:posOffset>339090</wp:posOffset>
            </wp:positionH>
            <wp:positionV relativeFrom="paragraph">
              <wp:posOffset>352593</wp:posOffset>
            </wp:positionV>
            <wp:extent cx="3528060" cy="2286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8060" cy="2286000"/>
                    </a:xfrm>
                    <a:prstGeom prst="rect">
                      <a:avLst/>
                    </a:prstGeom>
                    <a:noFill/>
                  </pic:spPr>
                </pic:pic>
              </a:graphicData>
            </a:graphic>
            <wp14:sizeRelH relativeFrom="page">
              <wp14:pctWidth>0</wp14:pctWidth>
            </wp14:sizeRelH>
            <wp14:sizeRelV relativeFrom="page">
              <wp14:pctHeight>0</wp14:pctHeight>
            </wp14:sizeRelV>
          </wp:anchor>
        </w:drawing>
      </w:r>
      <w:r w:rsidRPr="00E17487">
        <w:rPr>
          <w:sz w:val="20"/>
        </w:rPr>
        <w:t xml:space="preserve">Figure </w:t>
      </w:r>
      <w:r w:rsidRPr="00E17487">
        <w:rPr>
          <w:sz w:val="20"/>
        </w:rPr>
        <w:fldChar w:fldCharType="begin"/>
      </w:r>
      <w:r w:rsidRPr="00E17487">
        <w:rPr>
          <w:sz w:val="20"/>
        </w:rPr>
        <w:instrText xml:space="preserve"> SEQ Figure \* ARABIC </w:instrText>
      </w:r>
      <w:r w:rsidRPr="00E17487">
        <w:rPr>
          <w:sz w:val="20"/>
        </w:rPr>
        <w:fldChar w:fldCharType="separate"/>
      </w:r>
      <w:r w:rsidR="008F1633">
        <w:rPr>
          <w:noProof/>
          <w:sz w:val="20"/>
        </w:rPr>
        <w:t>4</w:t>
      </w:r>
      <w:r w:rsidRPr="00E17487">
        <w:rPr>
          <w:sz w:val="20"/>
        </w:rPr>
        <w:fldChar w:fldCharType="end"/>
      </w:r>
      <w:r w:rsidRPr="00E17487">
        <w:rPr>
          <w:sz w:val="20"/>
        </w:rPr>
        <w:t xml:space="preserve"> Change in GP FTE conditional on the number of clinical queries per patient</w:t>
      </w:r>
      <w:bookmarkEnd w:id="19"/>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30305" w:rsidRPr="00E17487" w:rsidRDefault="00F30305">
      <w:pPr>
        <w:spacing w:after="0" w:line="240" w:lineRule="auto"/>
      </w:pPr>
    </w:p>
    <w:p w:rsidR="00FE39F1" w:rsidRPr="00E17487" w:rsidRDefault="00214BF4" w:rsidP="00214BF4">
      <w:pPr>
        <w:pStyle w:val="Caption"/>
        <w:rPr>
          <w:sz w:val="20"/>
        </w:rPr>
      </w:pPr>
      <w:bookmarkStart w:id="20" w:name="_Toc419469109"/>
      <w:r w:rsidRPr="00E17487">
        <w:rPr>
          <w:sz w:val="20"/>
        </w:rPr>
        <w:t xml:space="preserve">Figure </w:t>
      </w:r>
      <w:r w:rsidRPr="00E17487">
        <w:rPr>
          <w:sz w:val="20"/>
        </w:rPr>
        <w:fldChar w:fldCharType="begin"/>
      </w:r>
      <w:r w:rsidRPr="00E17487">
        <w:rPr>
          <w:sz w:val="20"/>
        </w:rPr>
        <w:instrText xml:space="preserve"> SEQ Figure \* ARABIC </w:instrText>
      </w:r>
      <w:r w:rsidRPr="00E17487">
        <w:rPr>
          <w:sz w:val="20"/>
        </w:rPr>
        <w:fldChar w:fldCharType="separate"/>
      </w:r>
      <w:r w:rsidR="008F1633">
        <w:rPr>
          <w:noProof/>
          <w:sz w:val="20"/>
        </w:rPr>
        <w:t>5</w:t>
      </w:r>
      <w:r w:rsidRPr="00E17487">
        <w:rPr>
          <w:sz w:val="20"/>
        </w:rPr>
        <w:fldChar w:fldCharType="end"/>
      </w:r>
      <w:r w:rsidRPr="00E17487">
        <w:rPr>
          <w:sz w:val="20"/>
        </w:rPr>
        <w:t xml:space="preserve"> Change in net gains conditional on the number of clinical queries per patient</w:t>
      </w:r>
      <w:bookmarkEnd w:id="20"/>
    </w:p>
    <w:p w:rsidR="00F30305" w:rsidRPr="00E17487" w:rsidRDefault="00FE39F1">
      <w:pPr>
        <w:spacing w:after="0" w:line="240" w:lineRule="auto"/>
        <w:rPr>
          <w:b/>
          <w:bCs/>
          <w:sz w:val="20"/>
        </w:rPr>
      </w:pPr>
      <w:r w:rsidRPr="00E17487">
        <w:rPr>
          <w:sz w:val="20"/>
        </w:rPr>
        <w:br w:type="page"/>
      </w:r>
      <w:r w:rsidR="00214BF4" w:rsidRPr="00E17487">
        <w:rPr>
          <w:noProof/>
          <w:lang w:eastAsia="en-NZ"/>
        </w:rPr>
        <w:drawing>
          <wp:anchor distT="0" distB="0" distL="114300" distR="114300" simplePos="0" relativeHeight="251677184" behindDoc="1" locked="0" layoutInCell="1" allowOverlap="1" wp14:anchorId="36F10696" wp14:editId="57966E8D">
            <wp:simplePos x="0" y="0"/>
            <wp:positionH relativeFrom="column">
              <wp:posOffset>33655</wp:posOffset>
            </wp:positionH>
            <wp:positionV relativeFrom="paragraph">
              <wp:posOffset>3810</wp:posOffset>
            </wp:positionV>
            <wp:extent cx="3836035" cy="22771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6035" cy="2277110"/>
                    </a:xfrm>
                    <a:prstGeom prst="rect">
                      <a:avLst/>
                    </a:prstGeom>
                    <a:noFill/>
                  </pic:spPr>
                </pic:pic>
              </a:graphicData>
            </a:graphic>
            <wp14:sizeRelH relativeFrom="page">
              <wp14:pctWidth>0</wp14:pctWidth>
            </wp14:sizeRelH>
            <wp14:sizeRelV relativeFrom="page">
              <wp14:pctHeight>0</wp14:pctHeight>
            </wp14:sizeRelV>
          </wp:anchor>
        </w:drawing>
      </w:r>
    </w:p>
    <w:p w:rsidR="00F57B52" w:rsidRPr="00E17487" w:rsidRDefault="007E51AD" w:rsidP="00FE39F1">
      <w:pPr>
        <w:pStyle w:val="Heading2"/>
        <w:numPr>
          <w:ilvl w:val="0"/>
          <w:numId w:val="0"/>
        </w:numPr>
      </w:pPr>
      <w:bookmarkStart w:id="21" w:name="_Toc419469098"/>
      <w:r>
        <w:t>Scenario 4: Cost-recovery models</w:t>
      </w:r>
      <w:bookmarkEnd w:id="21"/>
    </w:p>
    <w:p w:rsidR="00DB1D6C" w:rsidRDefault="00DB1D6C" w:rsidP="00DB1D6C">
      <w:pPr>
        <w:pStyle w:val="Caption"/>
      </w:pPr>
      <w:bookmarkStart w:id="22" w:name="_Toc307413519"/>
      <w:bookmarkStart w:id="23" w:name="_Toc419469104"/>
      <w:r>
        <w:t xml:space="preserve">Table </w:t>
      </w:r>
      <w:r>
        <w:fldChar w:fldCharType="begin"/>
      </w:r>
      <w:r>
        <w:instrText xml:space="preserve"> SEQ Table \* ARABIC </w:instrText>
      </w:r>
      <w:r>
        <w:fldChar w:fldCharType="separate"/>
      </w:r>
      <w:r w:rsidR="008F1633">
        <w:rPr>
          <w:noProof/>
        </w:rPr>
        <w:t>5</w:t>
      </w:r>
      <w:r>
        <w:rPr>
          <w:noProof/>
        </w:rPr>
        <w:fldChar w:fldCharType="end"/>
      </w:r>
      <w:r>
        <w:t xml:space="preserve"> </w:t>
      </w:r>
      <w:bookmarkEnd w:id="22"/>
      <w:r>
        <w:t>Scenario 4 assumptions</w:t>
      </w:r>
      <w:bookmarkEnd w:id="23"/>
    </w:p>
    <w:tbl>
      <w:tblPr>
        <w:tblStyle w:val="TableSapereGrid"/>
        <w:tblW w:w="6379" w:type="dxa"/>
        <w:tblInd w:w="392" w:type="dxa"/>
        <w:tblCellMar>
          <w:top w:w="0" w:type="dxa"/>
          <w:left w:w="57" w:type="dxa"/>
          <w:bottom w:w="0" w:type="dxa"/>
          <w:right w:w="57" w:type="dxa"/>
        </w:tblCellMar>
        <w:tblLook w:val="0620" w:firstRow="1" w:lastRow="0" w:firstColumn="0" w:lastColumn="0" w:noHBand="1" w:noVBand="1"/>
      </w:tblPr>
      <w:tblGrid>
        <w:gridCol w:w="2693"/>
        <w:gridCol w:w="1843"/>
        <w:gridCol w:w="1843"/>
      </w:tblGrid>
      <w:tr w:rsidR="00DB1D6C" w:rsidTr="00DB1D6C">
        <w:trPr>
          <w:cnfStyle w:val="100000000000" w:firstRow="1" w:lastRow="0" w:firstColumn="0" w:lastColumn="0" w:oddVBand="0" w:evenVBand="0" w:oddHBand="0" w:evenHBand="0" w:firstRowFirstColumn="0" w:firstRowLastColumn="0" w:lastRowFirstColumn="0" w:lastRowLastColumn="0"/>
          <w:cantSplit/>
        </w:trPr>
        <w:tc>
          <w:tcPr>
            <w:tcW w:w="2693" w:type="dxa"/>
          </w:tcPr>
          <w:p w:rsidR="00DB1D6C" w:rsidRPr="00E17487" w:rsidRDefault="00DB1D6C" w:rsidP="007E51AD">
            <w:pPr>
              <w:pStyle w:val="Table-headingrow1"/>
              <w:rPr>
                <w:sz w:val="18"/>
              </w:rPr>
            </w:pPr>
            <w:r w:rsidRPr="00E17487">
              <w:rPr>
                <w:sz w:val="18"/>
              </w:rPr>
              <w:t>Parameter</w:t>
            </w:r>
          </w:p>
        </w:tc>
        <w:tc>
          <w:tcPr>
            <w:tcW w:w="1843" w:type="dxa"/>
          </w:tcPr>
          <w:p w:rsidR="00DB1D6C" w:rsidRPr="00E17487" w:rsidRDefault="00DB1D6C" w:rsidP="007E51AD">
            <w:pPr>
              <w:pStyle w:val="Table-headingrow1"/>
            </w:pPr>
            <w:r w:rsidRPr="00E17487">
              <w:rPr>
                <w:sz w:val="18"/>
              </w:rPr>
              <w:t>Value (subscription)</w:t>
            </w:r>
          </w:p>
        </w:tc>
        <w:tc>
          <w:tcPr>
            <w:tcW w:w="1843" w:type="dxa"/>
          </w:tcPr>
          <w:p w:rsidR="00DB1D6C" w:rsidRPr="00E17487" w:rsidRDefault="00DB1D6C" w:rsidP="007E51AD">
            <w:pPr>
              <w:pStyle w:val="Table-headingrow1"/>
              <w:rPr>
                <w:sz w:val="18"/>
              </w:rPr>
            </w:pPr>
            <w:r w:rsidRPr="00E17487">
              <w:rPr>
                <w:sz w:val="18"/>
              </w:rPr>
              <w:t>Value (pay-as-you-go)</w:t>
            </w:r>
          </w:p>
        </w:tc>
      </w:tr>
      <w:tr w:rsidR="00DB1D6C" w:rsidTr="00DB1D6C">
        <w:trPr>
          <w:cantSplit/>
        </w:trPr>
        <w:tc>
          <w:tcPr>
            <w:tcW w:w="2693" w:type="dxa"/>
            <w:vAlign w:val="center"/>
          </w:tcPr>
          <w:p w:rsidR="00DB1D6C" w:rsidRPr="00E17487" w:rsidRDefault="00DB1D6C" w:rsidP="007E51AD">
            <w:pPr>
              <w:pStyle w:val="UnnumtextBodytext"/>
              <w:spacing w:after="0"/>
              <w:rPr>
                <w:sz w:val="18"/>
              </w:rPr>
            </w:pPr>
            <w:r w:rsidRPr="00E17487">
              <w:rPr>
                <w:sz w:val="18"/>
              </w:rPr>
              <w:t>Patient uptake</w:t>
            </w:r>
          </w:p>
        </w:tc>
        <w:tc>
          <w:tcPr>
            <w:tcW w:w="1843" w:type="dxa"/>
          </w:tcPr>
          <w:p w:rsidR="00DB1D6C" w:rsidRPr="00E17487" w:rsidRDefault="00DB1D6C" w:rsidP="007E51AD">
            <w:pPr>
              <w:pStyle w:val="UnnumtextBodytext"/>
              <w:spacing w:after="0"/>
              <w:jc w:val="right"/>
              <w:rPr>
                <w:sz w:val="18"/>
              </w:rPr>
            </w:pPr>
            <w:r w:rsidRPr="00E17487">
              <w:rPr>
                <w:sz w:val="18"/>
              </w:rPr>
              <w:t>20%</w:t>
            </w:r>
          </w:p>
        </w:tc>
        <w:tc>
          <w:tcPr>
            <w:tcW w:w="1843" w:type="dxa"/>
          </w:tcPr>
          <w:p w:rsidR="00DB1D6C" w:rsidRPr="00E17487" w:rsidRDefault="00DB1D6C" w:rsidP="007E51AD">
            <w:pPr>
              <w:pStyle w:val="UnnumtextBodytext"/>
              <w:spacing w:after="0"/>
              <w:jc w:val="right"/>
              <w:rPr>
                <w:sz w:val="18"/>
              </w:rPr>
            </w:pPr>
            <w:r w:rsidRPr="00E17487">
              <w:rPr>
                <w:sz w:val="18"/>
              </w:rPr>
              <w:t>40%</w:t>
            </w:r>
          </w:p>
        </w:tc>
      </w:tr>
      <w:tr w:rsidR="00DB1D6C" w:rsidTr="00DB1D6C">
        <w:trPr>
          <w:cantSplit/>
        </w:trPr>
        <w:tc>
          <w:tcPr>
            <w:tcW w:w="2693" w:type="dxa"/>
            <w:vAlign w:val="center"/>
          </w:tcPr>
          <w:p w:rsidR="00DB1D6C" w:rsidRPr="00E17487" w:rsidRDefault="00DB1D6C" w:rsidP="007E51AD">
            <w:pPr>
              <w:pStyle w:val="UnnumtextBodytext"/>
              <w:spacing w:after="0"/>
              <w:rPr>
                <w:sz w:val="18"/>
              </w:rPr>
            </w:pPr>
            <w:r w:rsidRPr="00E17487">
              <w:rPr>
                <w:sz w:val="18"/>
              </w:rPr>
              <w:t>Practice Size</w:t>
            </w:r>
          </w:p>
        </w:tc>
        <w:tc>
          <w:tcPr>
            <w:tcW w:w="1843" w:type="dxa"/>
          </w:tcPr>
          <w:p w:rsidR="00DB1D6C" w:rsidRPr="00E17487" w:rsidRDefault="00DB1D6C" w:rsidP="007E51AD">
            <w:pPr>
              <w:pStyle w:val="UnnumtextBodytext"/>
              <w:spacing w:after="0"/>
              <w:jc w:val="right"/>
              <w:rPr>
                <w:sz w:val="18"/>
              </w:rPr>
            </w:pPr>
            <w:r w:rsidRPr="00E17487">
              <w:rPr>
                <w:sz w:val="18"/>
              </w:rPr>
              <w:t>5000</w:t>
            </w:r>
          </w:p>
        </w:tc>
        <w:tc>
          <w:tcPr>
            <w:tcW w:w="1843" w:type="dxa"/>
          </w:tcPr>
          <w:p w:rsidR="00DB1D6C" w:rsidRPr="00E17487" w:rsidRDefault="00DB1D6C" w:rsidP="007E51AD">
            <w:pPr>
              <w:pStyle w:val="UnnumtextBodytext"/>
              <w:spacing w:after="0"/>
              <w:jc w:val="right"/>
              <w:rPr>
                <w:sz w:val="18"/>
              </w:rPr>
            </w:pPr>
            <w:r w:rsidRPr="00E17487">
              <w:rPr>
                <w:sz w:val="18"/>
              </w:rPr>
              <w:t>5000</w:t>
            </w:r>
          </w:p>
        </w:tc>
      </w:tr>
      <w:tr w:rsidR="00DB1D6C" w:rsidTr="00DB1D6C">
        <w:trPr>
          <w:cantSplit/>
        </w:trPr>
        <w:tc>
          <w:tcPr>
            <w:tcW w:w="2693" w:type="dxa"/>
            <w:vAlign w:val="center"/>
          </w:tcPr>
          <w:p w:rsidR="00DB1D6C" w:rsidRPr="00E17487" w:rsidRDefault="00DB1D6C" w:rsidP="007E51AD">
            <w:pPr>
              <w:pStyle w:val="UnnumtextBodytext"/>
              <w:spacing w:after="0"/>
              <w:rPr>
                <w:sz w:val="18"/>
              </w:rPr>
            </w:pPr>
            <w:r w:rsidRPr="00E17487">
              <w:rPr>
                <w:sz w:val="18"/>
              </w:rPr>
              <w:t>Rate of substitution</w:t>
            </w:r>
          </w:p>
        </w:tc>
        <w:tc>
          <w:tcPr>
            <w:tcW w:w="1843" w:type="dxa"/>
          </w:tcPr>
          <w:p w:rsidR="00DB1D6C" w:rsidRPr="00E17487" w:rsidRDefault="008F1633" w:rsidP="007E51AD">
            <w:pPr>
              <w:pStyle w:val="UnnumtextBodytext"/>
              <w:spacing w:after="0"/>
              <w:jc w:val="right"/>
              <w:rPr>
                <w:sz w:val="18"/>
              </w:rPr>
            </w:pPr>
            <w:r>
              <w:rPr>
                <w:sz w:val="18"/>
              </w:rPr>
              <w:t>1</w:t>
            </w:r>
            <w:r w:rsidR="00DB1D6C" w:rsidRPr="00E17487">
              <w:rPr>
                <w:sz w:val="18"/>
              </w:rPr>
              <w:t>0%</w:t>
            </w:r>
          </w:p>
        </w:tc>
        <w:tc>
          <w:tcPr>
            <w:tcW w:w="1843" w:type="dxa"/>
          </w:tcPr>
          <w:p w:rsidR="00DB1D6C" w:rsidRPr="00E17487" w:rsidRDefault="008F1633" w:rsidP="007E51AD">
            <w:pPr>
              <w:pStyle w:val="UnnumtextBodytext"/>
              <w:spacing w:after="0"/>
              <w:jc w:val="right"/>
              <w:rPr>
                <w:sz w:val="18"/>
              </w:rPr>
            </w:pPr>
            <w:r>
              <w:rPr>
                <w:sz w:val="18"/>
              </w:rPr>
              <w:t>1</w:t>
            </w:r>
            <w:r w:rsidR="00DB1D6C" w:rsidRPr="00E17487">
              <w:rPr>
                <w:sz w:val="18"/>
              </w:rPr>
              <w:t>0%</w:t>
            </w:r>
          </w:p>
        </w:tc>
      </w:tr>
      <w:tr w:rsidR="00DB1D6C" w:rsidTr="00DB1D6C">
        <w:trPr>
          <w:cantSplit/>
        </w:trPr>
        <w:tc>
          <w:tcPr>
            <w:tcW w:w="2693" w:type="dxa"/>
            <w:vAlign w:val="center"/>
          </w:tcPr>
          <w:p w:rsidR="00DB1D6C" w:rsidRPr="00E17487" w:rsidRDefault="00DB1D6C" w:rsidP="007E51AD">
            <w:pPr>
              <w:pStyle w:val="UnnumtextBodytext"/>
              <w:spacing w:after="0"/>
              <w:rPr>
                <w:sz w:val="18"/>
              </w:rPr>
            </w:pPr>
            <w:r w:rsidRPr="00E17487">
              <w:rPr>
                <w:sz w:val="18"/>
              </w:rPr>
              <w:t>Clinical queries per patient</w:t>
            </w:r>
          </w:p>
        </w:tc>
        <w:tc>
          <w:tcPr>
            <w:tcW w:w="1843" w:type="dxa"/>
          </w:tcPr>
          <w:p w:rsidR="00DB1D6C" w:rsidRPr="00E17487" w:rsidRDefault="00DB1D6C" w:rsidP="007E51AD">
            <w:pPr>
              <w:pStyle w:val="UnnumtextBodytext"/>
              <w:spacing w:after="0"/>
              <w:jc w:val="right"/>
              <w:rPr>
                <w:sz w:val="18"/>
              </w:rPr>
            </w:pPr>
            <w:r w:rsidRPr="00E17487">
              <w:rPr>
                <w:sz w:val="18"/>
              </w:rPr>
              <w:t>1.5</w:t>
            </w:r>
          </w:p>
        </w:tc>
        <w:tc>
          <w:tcPr>
            <w:tcW w:w="1843" w:type="dxa"/>
          </w:tcPr>
          <w:p w:rsidR="00DB1D6C" w:rsidRPr="00E17487" w:rsidRDefault="00DB1D6C" w:rsidP="007E51AD">
            <w:pPr>
              <w:pStyle w:val="UnnumtextBodytext"/>
              <w:spacing w:after="0"/>
              <w:jc w:val="right"/>
              <w:rPr>
                <w:sz w:val="18"/>
              </w:rPr>
            </w:pPr>
            <w:r w:rsidRPr="00E17487">
              <w:rPr>
                <w:sz w:val="18"/>
              </w:rPr>
              <w:t>1.2</w:t>
            </w:r>
          </w:p>
        </w:tc>
      </w:tr>
      <w:tr w:rsidR="00DB1D6C" w:rsidTr="00DB1D6C">
        <w:trPr>
          <w:cantSplit/>
        </w:trPr>
        <w:tc>
          <w:tcPr>
            <w:tcW w:w="2693" w:type="dxa"/>
          </w:tcPr>
          <w:p w:rsidR="00DB1D6C" w:rsidRPr="00E17487" w:rsidRDefault="00DB1D6C" w:rsidP="007E51AD">
            <w:pPr>
              <w:pStyle w:val="UnnumtextBodytext"/>
              <w:spacing w:after="0"/>
              <w:rPr>
                <w:sz w:val="18"/>
              </w:rPr>
            </w:pPr>
            <w:r w:rsidRPr="00E17487">
              <w:rPr>
                <w:sz w:val="18"/>
              </w:rPr>
              <w:t>Time of avoided consults</w:t>
            </w:r>
          </w:p>
        </w:tc>
        <w:tc>
          <w:tcPr>
            <w:tcW w:w="1843" w:type="dxa"/>
          </w:tcPr>
          <w:p w:rsidR="00DB1D6C" w:rsidRPr="00E17487" w:rsidRDefault="00DB1D6C" w:rsidP="007E51AD">
            <w:pPr>
              <w:pStyle w:val="UnnumtextBodytext"/>
              <w:spacing w:after="0"/>
              <w:jc w:val="right"/>
              <w:rPr>
                <w:sz w:val="18"/>
              </w:rPr>
            </w:pPr>
            <w:r w:rsidRPr="00E17487">
              <w:rPr>
                <w:sz w:val="18"/>
              </w:rPr>
              <w:t>12 minutes</w:t>
            </w:r>
          </w:p>
        </w:tc>
        <w:tc>
          <w:tcPr>
            <w:tcW w:w="1843" w:type="dxa"/>
          </w:tcPr>
          <w:p w:rsidR="00DB1D6C" w:rsidRPr="00E17487" w:rsidRDefault="00DB1D6C" w:rsidP="007E51AD">
            <w:pPr>
              <w:pStyle w:val="UnnumtextBodytext"/>
              <w:spacing w:after="0"/>
              <w:jc w:val="right"/>
              <w:rPr>
                <w:sz w:val="18"/>
              </w:rPr>
            </w:pPr>
            <w:r w:rsidRPr="00E17487">
              <w:rPr>
                <w:sz w:val="18"/>
              </w:rPr>
              <w:t>12 minutes</w:t>
            </w:r>
          </w:p>
        </w:tc>
      </w:tr>
      <w:tr w:rsidR="00DB1D6C" w:rsidTr="00DB1D6C">
        <w:trPr>
          <w:cantSplit/>
        </w:trPr>
        <w:tc>
          <w:tcPr>
            <w:tcW w:w="2693" w:type="dxa"/>
          </w:tcPr>
          <w:p w:rsidR="00DB1D6C" w:rsidRPr="00E17487" w:rsidRDefault="00DB1D6C" w:rsidP="007E51AD">
            <w:pPr>
              <w:pStyle w:val="UnnumtextBodytext"/>
              <w:spacing w:after="0"/>
              <w:rPr>
                <w:sz w:val="18"/>
              </w:rPr>
            </w:pPr>
            <w:r w:rsidRPr="00E17487">
              <w:rPr>
                <w:sz w:val="18"/>
              </w:rPr>
              <w:t>Subscription fee</w:t>
            </w:r>
          </w:p>
        </w:tc>
        <w:tc>
          <w:tcPr>
            <w:tcW w:w="1843" w:type="dxa"/>
          </w:tcPr>
          <w:p w:rsidR="00DB1D6C" w:rsidRPr="00E17487" w:rsidRDefault="00DB1D6C" w:rsidP="007E51AD">
            <w:pPr>
              <w:pStyle w:val="UnnumtextBodytext"/>
              <w:spacing w:after="0"/>
              <w:jc w:val="right"/>
              <w:rPr>
                <w:sz w:val="18"/>
              </w:rPr>
            </w:pPr>
            <w:r w:rsidRPr="00E17487">
              <w:rPr>
                <w:sz w:val="18"/>
              </w:rPr>
              <w:t>$20</w:t>
            </w:r>
          </w:p>
        </w:tc>
        <w:tc>
          <w:tcPr>
            <w:tcW w:w="1843" w:type="dxa"/>
          </w:tcPr>
          <w:p w:rsidR="00DB1D6C" w:rsidRPr="00E17487" w:rsidRDefault="00DB1D6C" w:rsidP="007E51AD">
            <w:pPr>
              <w:pStyle w:val="UnnumtextBodytext"/>
              <w:spacing w:after="0"/>
              <w:jc w:val="right"/>
              <w:rPr>
                <w:sz w:val="18"/>
              </w:rPr>
            </w:pPr>
            <w:r w:rsidRPr="00E17487">
              <w:rPr>
                <w:sz w:val="18"/>
              </w:rPr>
              <w:t>$0</w:t>
            </w:r>
          </w:p>
        </w:tc>
      </w:tr>
      <w:tr w:rsidR="00DB1D6C" w:rsidTr="00DB1D6C">
        <w:trPr>
          <w:cantSplit/>
        </w:trPr>
        <w:tc>
          <w:tcPr>
            <w:tcW w:w="2693" w:type="dxa"/>
          </w:tcPr>
          <w:p w:rsidR="00DB1D6C" w:rsidRPr="00E17487" w:rsidRDefault="00DB1D6C" w:rsidP="007E51AD">
            <w:pPr>
              <w:pStyle w:val="UnnumtextBodytext"/>
              <w:spacing w:after="0"/>
              <w:rPr>
                <w:sz w:val="18"/>
              </w:rPr>
            </w:pPr>
            <w:r w:rsidRPr="00E17487">
              <w:rPr>
                <w:sz w:val="18"/>
              </w:rPr>
              <w:t>Online consultation fee</w:t>
            </w:r>
          </w:p>
        </w:tc>
        <w:tc>
          <w:tcPr>
            <w:tcW w:w="1843" w:type="dxa"/>
          </w:tcPr>
          <w:p w:rsidR="00DB1D6C" w:rsidRPr="00E17487" w:rsidRDefault="00DB1D6C" w:rsidP="007E51AD">
            <w:pPr>
              <w:pStyle w:val="UnnumtextBodytext"/>
              <w:spacing w:after="0"/>
              <w:jc w:val="right"/>
              <w:rPr>
                <w:sz w:val="18"/>
              </w:rPr>
            </w:pPr>
            <w:r w:rsidRPr="00E17487">
              <w:rPr>
                <w:sz w:val="18"/>
              </w:rPr>
              <w:t>$0</w:t>
            </w:r>
          </w:p>
        </w:tc>
        <w:tc>
          <w:tcPr>
            <w:tcW w:w="1843" w:type="dxa"/>
          </w:tcPr>
          <w:p w:rsidR="00DB1D6C" w:rsidRPr="00E17487" w:rsidRDefault="00DB1D6C" w:rsidP="007E51AD">
            <w:pPr>
              <w:pStyle w:val="UnnumtextBodytext"/>
              <w:spacing w:after="0"/>
              <w:jc w:val="right"/>
              <w:rPr>
                <w:sz w:val="18"/>
              </w:rPr>
            </w:pPr>
            <w:r w:rsidRPr="00E17487">
              <w:rPr>
                <w:sz w:val="18"/>
              </w:rPr>
              <w:t>$5</w:t>
            </w:r>
          </w:p>
        </w:tc>
      </w:tr>
      <w:tr w:rsidR="00072BBC" w:rsidTr="00DB1D6C">
        <w:trPr>
          <w:cantSplit/>
        </w:trPr>
        <w:tc>
          <w:tcPr>
            <w:tcW w:w="2693" w:type="dxa"/>
          </w:tcPr>
          <w:p w:rsidR="00072BBC" w:rsidRPr="00E17487" w:rsidRDefault="00072BBC" w:rsidP="00072BBC">
            <w:pPr>
              <w:pStyle w:val="UnnumtextBodytext"/>
              <w:spacing w:after="0"/>
              <w:rPr>
                <w:sz w:val="18"/>
              </w:rPr>
            </w:pPr>
            <w:r>
              <w:rPr>
                <w:sz w:val="18"/>
              </w:rPr>
              <w:t>Co-payment forgone</w:t>
            </w:r>
          </w:p>
        </w:tc>
        <w:tc>
          <w:tcPr>
            <w:tcW w:w="1843" w:type="dxa"/>
          </w:tcPr>
          <w:p w:rsidR="00072BBC" w:rsidRPr="00E17487" w:rsidRDefault="00072BBC" w:rsidP="007E51AD">
            <w:pPr>
              <w:pStyle w:val="UnnumtextBodytext"/>
              <w:spacing w:after="0"/>
              <w:jc w:val="right"/>
              <w:rPr>
                <w:sz w:val="18"/>
              </w:rPr>
            </w:pPr>
            <w:r>
              <w:rPr>
                <w:sz w:val="18"/>
              </w:rPr>
              <w:t>$30-39</w:t>
            </w:r>
          </w:p>
        </w:tc>
        <w:tc>
          <w:tcPr>
            <w:tcW w:w="1843" w:type="dxa"/>
          </w:tcPr>
          <w:p w:rsidR="00072BBC" w:rsidRPr="00E17487" w:rsidRDefault="00072BBC" w:rsidP="007E51AD">
            <w:pPr>
              <w:pStyle w:val="UnnumtextBodytext"/>
              <w:spacing w:after="0"/>
              <w:jc w:val="right"/>
              <w:rPr>
                <w:sz w:val="18"/>
              </w:rPr>
            </w:pPr>
            <w:r>
              <w:rPr>
                <w:sz w:val="18"/>
              </w:rPr>
              <w:t>$30-39</w:t>
            </w:r>
          </w:p>
        </w:tc>
      </w:tr>
    </w:tbl>
    <w:p w:rsidR="00DB1D6C" w:rsidRPr="00DB1D6C" w:rsidRDefault="00DB1D6C" w:rsidP="00DB1D6C">
      <w:pPr>
        <w:pStyle w:val="Whitespace"/>
        <w:spacing w:after="0"/>
        <w:rPr>
          <w:sz w:val="17"/>
        </w:rPr>
      </w:pPr>
    </w:p>
    <w:p w:rsidR="00045DF7" w:rsidRDefault="00045DF7" w:rsidP="008B51F8">
      <w:pPr>
        <w:pStyle w:val="UnnumtextBodytext"/>
      </w:pPr>
      <w:r>
        <w:t>Table 5 outlines the assumptions for two different cost-recovery models: a) a subscription based scheme where patients are charged an annual fee for access to the portal; and b) a pay-as-you-go scheme where patients are charged a fee for engaging in clinical queries with their GP through the portal.</w:t>
      </w:r>
    </w:p>
    <w:p w:rsidR="00CC0ED4" w:rsidRDefault="00CC0ED4" w:rsidP="008B51F8">
      <w:pPr>
        <w:pStyle w:val="UnnumtextBodytext"/>
      </w:pPr>
      <w:r>
        <w:t xml:space="preserve">Subscription fees are likely to reduce uptake; we assumed uptake would be 50 percent </w:t>
      </w:r>
      <w:r w:rsidR="003766FD">
        <w:t>less than</w:t>
      </w:r>
      <w:r>
        <w:t xml:space="preserve"> without a subscription fee. This reduce</w:t>
      </w:r>
      <w:r w:rsidR="003766FD">
        <w:t>s</w:t>
      </w:r>
      <w:r>
        <w:t xml:space="preserve"> the direct benefits of the portal</w:t>
      </w:r>
      <w:r w:rsidR="003766FD">
        <w:t xml:space="preserve"> for general practices. However</w:t>
      </w:r>
      <w:r>
        <w:t xml:space="preserve"> the collected fee revenue appears to more than compensate practices. </w:t>
      </w:r>
    </w:p>
    <w:p w:rsidR="00216CA3" w:rsidRDefault="00CC0ED4" w:rsidP="008B51F8">
      <w:pPr>
        <w:pStyle w:val="UnnumtextBodytext"/>
      </w:pPr>
      <w:r>
        <w:t>Conversely, a pay-as-you-go fee is unlikely to slow uptake but could discourage patients from actually using the portal; we assumed the number of clinical queries per patient reduced by 20 percent. In this case, the direct benefits from the portal may increase (through a decrease in additional GP FTE) but the collected fee revenue is much less.</w:t>
      </w:r>
      <w:r w:rsidR="005335FE">
        <w:t xml:space="preserve"> </w:t>
      </w:r>
      <w:r w:rsidR="00B66B04">
        <w:t xml:space="preserve"> There is less of an impetus to a different model of care in the practice.</w:t>
      </w:r>
    </w:p>
    <w:p w:rsidR="005335FE" w:rsidRDefault="005335FE" w:rsidP="008B51F8">
      <w:pPr>
        <w:pStyle w:val="UnnumtextBodytext"/>
      </w:pPr>
      <w:r>
        <w:t>The appropriateness of cost-recovery schemes will vary depending on the practice</w:t>
      </w:r>
      <w:r w:rsidR="001D740E">
        <w:t>’</w:t>
      </w:r>
      <w:r>
        <w:t>s</w:t>
      </w:r>
      <w:r w:rsidR="001D740E">
        <w:t xml:space="preserve"> individual</w:t>
      </w:r>
      <w:r>
        <w:t xml:space="preserve"> model of care</w:t>
      </w:r>
      <w:r w:rsidR="00B66B04">
        <w:t>, and how they wish to develop their model</w:t>
      </w:r>
      <w:r>
        <w:t>.</w:t>
      </w:r>
    </w:p>
    <w:p w:rsidR="008B51F8" w:rsidRDefault="008B51F8" w:rsidP="004A3747">
      <w:pPr>
        <w:pStyle w:val="UnnumtextBodytext"/>
      </w:pPr>
    </w:p>
    <w:p w:rsidR="00216CA3" w:rsidRPr="00E17487" w:rsidRDefault="008F1633" w:rsidP="00943F25">
      <w:pPr>
        <w:pStyle w:val="Caption"/>
        <w:rPr>
          <w:sz w:val="20"/>
        </w:rPr>
      </w:pPr>
      <w:bookmarkStart w:id="24" w:name="_Toc419469110"/>
      <w:r>
        <w:rPr>
          <w:noProof/>
          <w:lang w:eastAsia="en-NZ"/>
        </w:rPr>
        <w:drawing>
          <wp:anchor distT="0" distB="0" distL="114300" distR="114300" simplePos="0" relativeHeight="251683328" behindDoc="1" locked="0" layoutInCell="1" allowOverlap="1" wp14:anchorId="503CB178" wp14:editId="43711D1D">
            <wp:simplePos x="0" y="0"/>
            <wp:positionH relativeFrom="column">
              <wp:posOffset>624229</wp:posOffset>
            </wp:positionH>
            <wp:positionV relativeFrom="paragraph">
              <wp:posOffset>182317</wp:posOffset>
            </wp:positionV>
            <wp:extent cx="2794958" cy="246452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6160" cy="2465581"/>
                    </a:xfrm>
                    <a:prstGeom prst="rect">
                      <a:avLst/>
                    </a:prstGeom>
                    <a:noFill/>
                  </pic:spPr>
                </pic:pic>
              </a:graphicData>
            </a:graphic>
            <wp14:sizeRelH relativeFrom="page">
              <wp14:pctWidth>0</wp14:pctWidth>
            </wp14:sizeRelH>
            <wp14:sizeRelV relativeFrom="page">
              <wp14:pctHeight>0</wp14:pctHeight>
            </wp14:sizeRelV>
          </wp:anchor>
        </w:drawing>
      </w:r>
      <w:r w:rsidR="00943F25" w:rsidRPr="00E17487">
        <w:rPr>
          <w:sz w:val="20"/>
        </w:rPr>
        <w:t xml:space="preserve">Figure </w:t>
      </w:r>
      <w:r w:rsidR="00943F25" w:rsidRPr="00E17487">
        <w:rPr>
          <w:sz w:val="20"/>
        </w:rPr>
        <w:fldChar w:fldCharType="begin"/>
      </w:r>
      <w:r w:rsidR="00943F25" w:rsidRPr="00E17487">
        <w:rPr>
          <w:sz w:val="20"/>
        </w:rPr>
        <w:instrText xml:space="preserve"> SEQ Figure \* ARABIC </w:instrText>
      </w:r>
      <w:r w:rsidR="00943F25" w:rsidRPr="00E17487">
        <w:rPr>
          <w:sz w:val="20"/>
        </w:rPr>
        <w:fldChar w:fldCharType="separate"/>
      </w:r>
      <w:r>
        <w:rPr>
          <w:noProof/>
          <w:sz w:val="20"/>
        </w:rPr>
        <w:t>6</w:t>
      </w:r>
      <w:r w:rsidR="00943F25" w:rsidRPr="00E17487">
        <w:rPr>
          <w:sz w:val="20"/>
        </w:rPr>
        <w:fldChar w:fldCharType="end"/>
      </w:r>
      <w:r w:rsidR="00943F25" w:rsidRPr="00E17487">
        <w:rPr>
          <w:sz w:val="20"/>
        </w:rPr>
        <w:t xml:space="preserve"> Financial outcomes under a subscription fee model</w:t>
      </w:r>
      <w:bookmarkEnd w:id="24"/>
    </w:p>
    <w:p w:rsidR="00216CA3" w:rsidRPr="00E17487" w:rsidRDefault="00216CA3" w:rsidP="00BA581C">
      <w:pPr>
        <w:spacing w:after="0" w:line="240" w:lineRule="auto"/>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E135EC" w:rsidRDefault="00E135EC" w:rsidP="00943F25">
      <w:pPr>
        <w:pStyle w:val="Caption"/>
        <w:rPr>
          <w:sz w:val="20"/>
        </w:rPr>
      </w:pPr>
    </w:p>
    <w:p w:rsidR="00216CA3" w:rsidRPr="00E17487" w:rsidRDefault="008F1633" w:rsidP="00943F25">
      <w:pPr>
        <w:pStyle w:val="Caption"/>
        <w:rPr>
          <w:sz w:val="20"/>
        </w:rPr>
      </w:pPr>
      <w:bookmarkStart w:id="25" w:name="_Toc419469111"/>
      <w:r>
        <w:rPr>
          <w:noProof/>
          <w:lang w:eastAsia="en-NZ"/>
        </w:rPr>
        <w:drawing>
          <wp:anchor distT="0" distB="0" distL="114300" distR="114300" simplePos="0" relativeHeight="251684352" behindDoc="1" locked="0" layoutInCell="1" allowOverlap="1" wp14:anchorId="309994D5" wp14:editId="0EEF7165">
            <wp:simplePos x="0" y="0"/>
            <wp:positionH relativeFrom="column">
              <wp:posOffset>624001</wp:posOffset>
            </wp:positionH>
            <wp:positionV relativeFrom="paragraph">
              <wp:posOffset>179070</wp:posOffset>
            </wp:positionV>
            <wp:extent cx="2872596" cy="2501661"/>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2596" cy="2501661"/>
                    </a:xfrm>
                    <a:prstGeom prst="rect">
                      <a:avLst/>
                    </a:prstGeom>
                    <a:noFill/>
                  </pic:spPr>
                </pic:pic>
              </a:graphicData>
            </a:graphic>
            <wp14:sizeRelH relativeFrom="page">
              <wp14:pctWidth>0</wp14:pctWidth>
            </wp14:sizeRelH>
            <wp14:sizeRelV relativeFrom="page">
              <wp14:pctHeight>0</wp14:pctHeight>
            </wp14:sizeRelV>
          </wp:anchor>
        </w:drawing>
      </w:r>
      <w:r w:rsidR="00943F25" w:rsidRPr="00E17487">
        <w:rPr>
          <w:sz w:val="20"/>
        </w:rPr>
        <w:t xml:space="preserve">Figure </w:t>
      </w:r>
      <w:r w:rsidR="00943F25" w:rsidRPr="00E17487">
        <w:rPr>
          <w:sz w:val="20"/>
        </w:rPr>
        <w:fldChar w:fldCharType="begin"/>
      </w:r>
      <w:r w:rsidR="00943F25" w:rsidRPr="00E17487">
        <w:rPr>
          <w:sz w:val="20"/>
        </w:rPr>
        <w:instrText xml:space="preserve"> SEQ Figure \* ARABIC </w:instrText>
      </w:r>
      <w:r w:rsidR="00943F25" w:rsidRPr="00E17487">
        <w:rPr>
          <w:sz w:val="20"/>
        </w:rPr>
        <w:fldChar w:fldCharType="separate"/>
      </w:r>
      <w:r>
        <w:rPr>
          <w:noProof/>
          <w:sz w:val="20"/>
        </w:rPr>
        <w:t>7</w:t>
      </w:r>
      <w:r w:rsidR="00943F25" w:rsidRPr="00E17487">
        <w:rPr>
          <w:sz w:val="20"/>
        </w:rPr>
        <w:fldChar w:fldCharType="end"/>
      </w:r>
      <w:r w:rsidR="00943F25" w:rsidRPr="00E17487">
        <w:rPr>
          <w:sz w:val="20"/>
        </w:rPr>
        <w:t xml:space="preserve"> Financial outcomes under a pay-as-you-go model</w:t>
      </w:r>
      <w:bookmarkEnd w:id="25"/>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216CA3" w:rsidRPr="00E17487" w:rsidRDefault="00216CA3" w:rsidP="00BA581C">
      <w:pPr>
        <w:spacing w:after="0" w:line="240" w:lineRule="auto"/>
      </w:pPr>
    </w:p>
    <w:p w:rsidR="00E17487" w:rsidRDefault="00E17487">
      <w:pPr>
        <w:pStyle w:val="UnnumtextBodytext"/>
      </w:pPr>
    </w:p>
    <w:p w:rsidR="00FB21A6" w:rsidRDefault="00FB21A6" w:rsidP="00FB21A6">
      <w:pPr>
        <w:pStyle w:val="Heading1"/>
      </w:pPr>
      <w:bookmarkStart w:id="26" w:name="_Toc419469099"/>
      <w:r>
        <w:t>Main points</w:t>
      </w:r>
      <w:bookmarkEnd w:id="26"/>
    </w:p>
    <w:p w:rsidR="003340C1" w:rsidRDefault="003340C1" w:rsidP="00FB21A6">
      <w:pPr>
        <w:pStyle w:val="UnnumtextBullet1"/>
      </w:pPr>
      <w:r>
        <w:t>Patient portals have the potential to provide a net gain to general practice by releasing staff resources for more productive use;</w:t>
      </w:r>
    </w:p>
    <w:p w:rsidR="003340C1" w:rsidRDefault="003340C1" w:rsidP="00FB21A6">
      <w:pPr>
        <w:pStyle w:val="UnnumtextBullet1"/>
      </w:pPr>
      <w:r>
        <w:t>Portals have significant potential to redeploy practice staff time from low productivity tasks (phone conversations, taking notes, passing on messages) to more productive activity, such as running screening queries or operating nurse led clinics;</w:t>
      </w:r>
    </w:p>
    <w:p w:rsidR="003340C1" w:rsidRDefault="003340C1" w:rsidP="00FB21A6">
      <w:pPr>
        <w:pStyle w:val="UnnumtextBullet1"/>
      </w:pPr>
      <w:r>
        <w:t>Scale of uptake is important in achieving a large enough level of net gain to a practice;</w:t>
      </w:r>
    </w:p>
    <w:p w:rsidR="003340C1" w:rsidRDefault="003340C1" w:rsidP="00FB21A6">
      <w:pPr>
        <w:pStyle w:val="UnnumtextBullet1"/>
      </w:pPr>
      <w:r>
        <w:t>The effect is particularly strong for admin staff resources, but applies to nurse FTE as well;</w:t>
      </w:r>
    </w:p>
    <w:p w:rsidR="003340C1" w:rsidRDefault="003340C1" w:rsidP="00FB21A6">
      <w:pPr>
        <w:pStyle w:val="UnnumtextBullet1"/>
      </w:pPr>
      <w:r>
        <w:t>Clinical queries resulting from a patient portal do not swamp GP time - some additional GP time may be needed to deal with clinical queries coming through a portal, but the size of this is not large;</w:t>
      </w:r>
    </w:p>
    <w:p w:rsidR="003340C1" w:rsidRDefault="003340C1" w:rsidP="00FB21A6">
      <w:pPr>
        <w:pStyle w:val="UnnumtextBullet1"/>
      </w:pPr>
      <w:r>
        <w:t xml:space="preserve">Substitution of </w:t>
      </w:r>
      <w:r w:rsidR="007926B5">
        <w:t>online</w:t>
      </w:r>
      <w:r>
        <w:t xml:space="preserve"> clinical queries for some face to face consultations with co-payments can still result in a net gain in resource to a general practice, especially if the GP’s time saved from face to face consultations is redeployed doing something else which generates revenue;</w:t>
      </w:r>
    </w:p>
    <w:p w:rsidR="003340C1" w:rsidRDefault="003340C1" w:rsidP="00FB21A6">
      <w:pPr>
        <w:pStyle w:val="UnnumtextBullet1"/>
      </w:pPr>
      <w:r>
        <w:t>Copayment options for portal use, such as subscription models or fee for service payments for clinical queries, can result in significant new revenue for a practice, but have to be traded off against potential adverse effects on patient use of the portal, and consequently loss of some of the advantages of having it in the first place;</w:t>
      </w:r>
    </w:p>
    <w:p w:rsidR="003340C1" w:rsidRDefault="003340C1" w:rsidP="00FB21A6">
      <w:pPr>
        <w:pStyle w:val="UnnumtextBullet1"/>
      </w:pPr>
      <w:r>
        <w:t>The ability to redeploy clinical and administrative time within the practice has the potential to support models of care which are less focussed on sequential face to face consultations.</w:t>
      </w:r>
    </w:p>
    <w:p w:rsidR="00FB21A6" w:rsidRPr="00FB21A6" w:rsidRDefault="00FB21A6" w:rsidP="00FB21A6">
      <w:pPr>
        <w:pStyle w:val="UnnumtextBodytext"/>
      </w:pPr>
    </w:p>
    <w:sectPr w:rsidR="00FB21A6" w:rsidRPr="00FB21A6" w:rsidSect="006E3FC7">
      <w:footerReference w:type="default" r:id="rId31"/>
      <w:endnotePr>
        <w:numFmt w:val="decimal"/>
      </w:endnotePr>
      <w:type w:val="continuous"/>
      <w:pgSz w:w="16840" w:h="11907" w:orient="landscape" w:code="9"/>
      <w:pgMar w:top="1701" w:right="1134" w:bottom="1418" w:left="1134" w:header="737" w:footer="454" w:gutter="0"/>
      <w:cols w:num="2" w:space="56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EC" w:rsidRDefault="00E135EC">
      <w:r>
        <w:separator/>
      </w:r>
    </w:p>
  </w:endnote>
  <w:endnote w:type="continuationSeparator" w:id="0">
    <w:p w:rsidR="00E135EC" w:rsidRDefault="00E1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rsidP="003D1BA6">
    <w:pPr>
      <w:pStyle w:val="Footerevenlandscape"/>
    </w:pPr>
    <w:r>
      <w:t xml:space="preserve">Page </w:t>
    </w:r>
    <w:r>
      <w:fldChar w:fldCharType="begin"/>
    </w:r>
    <w:r>
      <w:instrText xml:space="preserve"> page </w:instrText>
    </w:r>
    <w:r>
      <w:fldChar w:fldCharType="separate"/>
    </w:r>
    <w:r w:rsidR="001C442F">
      <w:rPr>
        <w:noProof/>
      </w:rPr>
      <w:t>6</w:t>
    </w:r>
    <w:r>
      <w:rPr>
        <w:noProof/>
      </w:rPr>
      <w:fldChar w:fldCharType="end"/>
    </w:r>
    <w:r>
      <w:tab/>
    </w:r>
    <w:fldSimple w:instr=" DOCVARIABLE  ftrFootertext  \* MERGEFORMAT ">
      <w:r w:rsidR="008F1633">
        <w:t xml:space="preserve"> </w:t>
      </w:r>
    </w:fldSimple>
  </w:p>
  <w:p w:rsidR="00E135EC" w:rsidRPr="008F648C" w:rsidRDefault="00E135EC" w:rsidP="003D1BA6">
    <w:pPr>
      <w:pStyle w:val="Footerevenlandscape"/>
      <w:rPr>
        <w:rStyle w:val="FooterLastsavedate"/>
      </w:rPr>
    </w:pP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E7F5F" w:rsidP="008776B1">
    <w:pPr>
      <w:pStyle w:val="Footeroddlandscape"/>
    </w:pPr>
    <w:fldSimple w:instr=" DOCVARIABLE  ftrFootertext  \* MERGEFORMAT ">
      <w:r w:rsidR="008F1633">
        <w:t xml:space="preserve"> </w:t>
      </w:r>
    </w:fldSimple>
    <w:r w:rsidR="00E135EC">
      <w:tab/>
      <w:t xml:space="preserve">Page </w:t>
    </w:r>
    <w:r w:rsidR="00E135EC">
      <w:fldChar w:fldCharType="begin"/>
    </w:r>
    <w:r w:rsidR="00E135EC">
      <w:instrText xml:space="preserve"> page </w:instrText>
    </w:r>
    <w:r w:rsidR="00E135EC">
      <w:fldChar w:fldCharType="separate"/>
    </w:r>
    <w:r w:rsidR="001C442F">
      <w:rPr>
        <w:noProof/>
      </w:rPr>
      <w:t>i</w:t>
    </w:r>
    <w:r w:rsidR="00E135EC">
      <w:rPr>
        <w:noProof/>
      </w:rPr>
      <w:fldChar w:fldCharType="end"/>
    </w:r>
  </w:p>
  <w:p w:rsidR="00E135EC" w:rsidRPr="003911B9" w:rsidRDefault="00E135EC" w:rsidP="008776B1">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Pr="003D1BA6" w:rsidRDefault="00EE7F5F" w:rsidP="003D1BA6">
    <w:pPr>
      <w:pStyle w:val="Footeroddlandscape"/>
    </w:pPr>
    <w:fldSimple w:instr=" DOCVARIABLE  ftrFootertext  \* MERGEFORMAT ">
      <w:r w:rsidR="008F1633">
        <w:t xml:space="preserve"> </w:t>
      </w:r>
    </w:fldSimple>
    <w:r w:rsidR="00E135EC">
      <w:tab/>
      <w:t xml:space="preserve">Page </w:t>
    </w:r>
    <w:r w:rsidR="00E135EC">
      <w:fldChar w:fldCharType="begin"/>
    </w:r>
    <w:r w:rsidR="00E135EC">
      <w:instrText xml:space="preserve"> page </w:instrText>
    </w:r>
    <w:r w:rsidR="00E135EC">
      <w:fldChar w:fldCharType="separate"/>
    </w:r>
    <w:r w:rsidR="001C442F">
      <w:rPr>
        <w:noProof/>
      </w:rPr>
      <w:t>iii</w:t>
    </w:r>
    <w:r w:rsidR="00E135EC">
      <w:rPr>
        <w:noProof/>
      </w:rPr>
      <w:fldChar w:fldCharType="end"/>
    </w:r>
  </w:p>
  <w:p w:rsidR="00E135EC" w:rsidRPr="003911B9" w:rsidRDefault="00E135EC" w:rsidP="003D1BA6">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Pr="003D1BA6" w:rsidRDefault="00EE7F5F" w:rsidP="003D1BA6">
    <w:pPr>
      <w:pStyle w:val="Footeroddlandscape"/>
    </w:pPr>
    <w:fldSimple w:instr=" DOCVARIABLE  ftrFootertext  \* MERGEFORMAT ">
      <w:r w:rsidR="008F1633">
        <w:t xml:space="preserve"> </w:t>
      </w:r>
    </w:fldSimple>
    <w:r w:rsidR="00E135EC">
      <w:tab/>
      <w:t xml:space="preserve">Page </w:t>
    </w:r>
    <w:r w:rsidR="00E135EC">
      <w:fldChar w:fldCharType="begin"/>
    </w:r>
    <w:r w:rsidR="00E135EC">
      <w:instrText xml:space="preserve"> page </w:instrText>
    </w:r>
    <w:r w:rsidR="00E135EC">
      <w:fldChar w:fldCharType="separate"/>
    </w:r>
    <w:r w:rsidR="001C442F">
      <w:rPr>
        <w:noProof/>
      </w:rPr>
      <w:t>1</w:t>
    </w:r>
    <w:r w:rsidR="00E135EC">
      <w:rPr>
        <w:noProof/>
      </w:rPr>
      <w:fldChar w:fldCharType="end"/>
    </w:r>
  </w:p>
  <w:p w:rsidR="00E135EC" w:rsidRPr="003911B9" w:rsidRDefault="00E135EC" w:rsidP="003D1BA6">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Pr="003D1BA6" w:rsidRDefault="00EE7F5F" w:rsidP="00301FAF">
    <w:pPr>
      <w:pStyle w:val="Footeroddlandscape"/>
    </w:pPr>
    <w:fldSimple w:instr=" DOCVARIABLE  ftrFootertext  \* MERGEFORMAT ">
      <w:r w:rsidR="008F1633">
        <w:t xml:space="preserve"> </w:t>
      </w:r>
    </w:fldSimple>
    <w:r w:rsidR="00E135EC">
      <w:tab/>
      <w:t xml:space="preserve">Page </w:t>
    </w:r>
    <w:r w:rsidR="00E135EC">
      <w:fldChar w:fldCharType="begin"/>
    </w:r>
    <w:r w:rsidR="00E135EC">
      <w:instrText xml:space="preserve"> page </w:instrText>
    </w:r>
    <w:r w:rsidR="00E135EC">
      <w:fldChar w:fldCharType="separate"/>
    </w:r>
    <w:r w:rsidR="001C442F">
      <w:rPr>
        <w:noProof/>
      </w:rPr>
      <w:t>3</w:t>
    </w:r>
    <w:r w:rsidR="00E135EC">
      <w:rPr>
        <w:noProof/>
      </w:rPr>
      <w:fldChar w:fldCharType="end"/>
    </w:r>
  </w:p>
  <w:p w:rsidR="00E135EC" w:rsidRPr="003911B9" w:rsidRDefault="00E135EC" w:rsidP="00301FAF">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Pr="003D1BA6" w:rsidRDefault="00EE7F5F" w:rsidP="00301FAF">
    <w:pPr>
      <w:pStyle w:val="Footeroddlandscape"/>
    </w:pPr>
    <w:fldSimple w:instr=" DOCVARIABLE  ftrFootertext  \* MERGEFORMAT ">
      <w:r w:rsidR="008F1633">
        <w:t xml:space="preserve"> </w:t>
      </w:r>
    </w:fldSimple>
    <w:r w:rsidR="00E135EC">
      <w:tab/>
      <w:t xml:space="preserve">Page </w:t>
    </w:r>
    <w:r w:rsidR="00E135EC">
      <w:fldChar w:fldCharType="begin"/>
    </w:r>
    <w:r w:rsidR="00E135EC">
      <w:instrText xml:space="preserve"> page </w:instrText>
    </w:r>
    <w:r w:rsidR="00E135EC">
      <w:fldChar w:fldCharType="separate"/>
    </w:r>
    <w:r w:rsidR="001C442F">
      <w:rPr>
        <w:noProof/>
      </w:rPr>
      <w:t>7</w:t>
    </w:r>
    <w:r w:rsidR="00E135EC">
      <w:rPr>
        <w:noProof/>
      </w:rPr>
      <w:fldChar w:fldCharType="end"/>
    </w:r>
  </w:p>
  <w:p w:rsidR="00E135EC" w:rsidRPr="003911B9" w:rsidRDefault="00E135EC" w:rsidP="00301FAF">
    <w:pPr>
      <w:pStyle w:val="Footeroddlandscape"/>
      <w:rPr>
        <w:i/>
      </w:rPr>
    </w:pPr>
    <w:r w:rsidRPr="006B7C08">
      <w:rPr>
        <w:i/>
      </w:rPr>
      <w:tab/>
    </w:r>
    <w:r>
      <w:rPr>
        <w:i/>
      </w:rPr>
      <w:fldChar w:fldCharType="begin"/>
    </w:r>
    <w:r>
      <w:rPr>
        <w:i/>
      </w:rPr>
      <w:instrText xml:space="preserve"> DOCVARIABLE  rptPrivilegedText </w:instrText>
    </w:r>
    <w:r>
      <w:rPr>
        <w:i/>
      </w:rPr>
      <w:fldChar w:fldCharType="separate"/>
    </w:r>
    <w:r w:rsidR="008F1633">
      <w:rPr>
        <w:i/>
      </w:rPr>
      <w:t>Privileged and Confidential</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EC" w:rsidRPr="00E12EB8" w:rsidRDefault="00E135EC">
      <w:pPr>
        <w:rPr>
          <w:color w:val="7B5E05"/>
        </w:rPr>
      </w:pPr>
      <w:r w:rsidRPr="00E12EB8">
        <w:rPr>
          <w:color w:val="7B5E05"/>
        </w:rPr>
        <w:separator/>
      </w:r>
    </w:p>
  </w:footnote>
  <w:footnote w:type="continuationSeparator" w:id="0">
    <w:p w:rsidR="00E135EC" w:rsidRPr="00E12EB8" w:rsidRDefault="00E135EC">
      <w:pPr>
        <w:rPr>
          <w:color w:val="7B5E05"/>
        </w:rPr>
      </w:pPr>
      <w:r w:rsidRPr="00E12EB8">
        <w:rPr>
          <w:color w:val="7B5E05"/>
        </w:rPr>
        <w:continuationSeparator/>
      </w:r>
    </w:p>
  </w:footnote>
  <w:footnote w:type="continuationNotice" w:id="1">
    <w:p w:rsidR="00E135EC" w:rsidRDefault="00E135EC"/>
  </w:footnote>
  <w:footnote w:id="2">
    <w:p w:rsidR="00E135EC" w:rsidRDefault="00E135EC">
      <w:pPr>
        <w:pStyle w:val="FootnoteText"/>
      </w:pPr>
      <w:r>
        <w:rPr>
          <w:rStyle w:val="FootnoteReference"/>
        </w:rPr>
        <w:footnoteRef/>
      </w:r>
      <w:r>
        <w:t xml:space="preserve"> The forgone co-payments from avoided consults is a contentious issue and the outcomes for practices following any level of substitution will be conditional on the specific practices co-payments. Average co-payment fees charged across the practice were calculated and applied in the modelling. The broad report describes the calculations in detail.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rsidP="00F20E48">
    <w:pPr>
      <w:pStyle w:val="Headereven"/>
    </w:pPr>
    <w:r>
      <w:rPr>
        <w:noProof/>
        <w:lang w:eastAsia="en-NZ"/>
      </w:rPr>
      <w:drawing>
        <wp:anchor distT="0" distB="0" distL="114300" distR="114300" simplePos="0" relativeHeight="251659264" behindDoc="0" locked="0" layoutInCell="1" allowOverlap="1" wp14:anchorId="245D0769" wp14:editId="1FF20783">
          <wp:simplePos x="0" y="0"/>
          <wp:positionH relativeFrom="column">
            <wp:align>left</wp:align>
          </wp:positionH>
          <wp:positionV relativeFrom="page">
            <wp:posOffset>250166</wp:posOffset>
          </wp:positionV>
          <wp:extent cx="1559584" cy="474453"/>
          <wp:effectExtent l="19050" t="0" r="2516" b="0"/>
          <wp:wrapNone/>
          <wp:docPr id="8" name="Picture 6"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59584" cy="474453"/>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Pr="00F20E48" w:rsidRDefault="00E135EC" w:rsidP="00F20E48">
    <w:pPr>
      <w:pStyle w:val="Headerodd"/>
    </w:pPr>
    <w:r>
      <w:rPr>
        <w:noProof/>
        <w:lang w:eastAsia="en-NZ"/>
      </w:rPr>
      <w:drawing>
        <wp:anchor distT="0" distB="0" distL="114300" distR="114300" simplePos="0" relativeHeight="251658240" behindDoc="0" locked="0" layoutInCell="1" allowOverlap="1" wp14:anchorId="2316E131" wp14:editId="3FC9DBE8">
          <wp:simplePos x="0" y="0"/>
          <wp:positionH relativeFrom="column">
            <wp:align>right</wp:align>
          </wp:positionH>
          <wp:positionV relativeFrom="page">
            <wp:posOffset>252095</wp:posOffset>
          </wp:positionV>
          <wp:extent cx="1562100" cy="476250"/>
          <wp:effectExtent l="19050" t="0" r="0" b="0"/>
          <wp:wrapNone/>
          <wp:docPr id="9" name="Picture 9" descr="Sapere_RGB_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_RGB_lge.jpg"/>
                  <pic:cNvPicPr/>
                </pic:nvPicPr>
                <pic:blipFill>
                  <a:blip r:embed="rId1"/>
                  <a:stretch>
                    <a:fillRect/>
                  </a:stretch>
                </pic:blipFill>
                <pic:spPr>
                  <a:xfrm>
                    <a:off x="0" y="0"/>
                    <a:ext cx="1562100" cy="47625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EC" w:rsidRDefault="00E1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52B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8E36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3065F4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B4108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1065B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C720F6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31A3B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B7601"/>
    <w:multiLevelType w:val="hybridMultilevel"/>
    <w:tmpl w:val="66903CDA"/>
    <w:lvl w:ilvl="0" w:tplc="DDBC0D66">
      <w:start w:val="1"/>
      <w:numFmt w:val="bullet"/>
      <w:lvlText w:val=""/>
      <w:lvlJc w:val="left"/>
      <w:pPr>
        <w:tabs>
          <w:tab w:val="num" w:pos="425"/>
        </w:tabs>
        <w:ind w:left="425" w:hanging="425"/>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9000A"/>
    <w:multiLevelType w:val="hybridMultilevel"/>
    <w:tmpl w:val="16E6F04A"/>
    <w:lvl w:ilvl="0" w:tplc="AA82CFB0">
      <w:start w:val="1"/>
      <w:numFmt w:val="bullet"/>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24580"/>
    <w:multiLevelType w:val="multilevel"/>
    <w:tmpl w:val="D8C4747E"/>
    <w:lvl w:ilvl="0">
      <w:start w:val="1"/>
      <w:numFmt w:val="none"/>
      <w:pStyle w:val="Indent1"/>
      <w:suff w:val="nothing"/>
      <w:lvlText w:val="%1"/>
      <w:lvlJc w:val="left"/>
      <w:pPr>
        <w:ind w:left="425" w:firstLine="0"/>
      </w:pPr>
      <w:rPr>
        <w:rFonts w:hint="default"/>
      </w:rPr>
    </w:lvl>
    <w:lvl w:ilvl="1">
      <w:start w:val="1"/>
      <w:numFmt w:val="none"/>
      <w:pStyle w:val="Indent2"/>
      <w:suff w:val="nothing"/>
      <w:lvlText w:val=""/>
      <w:lvlJc w:val="left"/>
      <w:pPr>
        <w:ind w:left="851" w:firstLine="0"/>
      </w:pPr>
      <w:rPr>
        <w:rFonts w:hint="default"/>
      </w:rPr>
    </w:lvl>
    <w:lvl w:ilvl="2">
      <w:start w:val="1"/>
      <w:numFmt w:val="none"/>
      <w:pStyle w:val="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0" w15:restartNumberingAfterBreak="0">
    <w:nsid w:val="15FF086A"/>
    <w:multiLevelType w:val="multilevel"/>
    <w:tmpl w:val="97E84DEC"/>
    <w:lvl w:ilvl="0">
      <w:start w:val="1"/>
      <w:numFmt w:val="bullet"/>
      <w:pStyle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hint="default"/>
        <w:b w:val="0"/>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16CA0434"/>
    <w:multiLevelType w:val="multilevel"/>
    <w:tmpl w:val="98C6852C"/>
    <w:name w:val="ListNumberedParagraphs"/>
    <w:lvl w:ilvl="0">
      <w:start w:val="1"/>
      <w:numFmt w:val="none"/>
      <w:lvlText w:val="%1"/>
      <w:lvlJc w:val="left"/>
      <w:pPr>
        <w:tabs>
          <w:tab w:val="num" w:pos="0"/>
        </w:tabs>
        <w:ind w:left="-284" w:firstLine="284"/>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2" w15:restartNumberingAfterBreak="0">
    <w:nsid w:val="1A475977"/>
    <w:multiLevelType w:val="multilevel"/>
    <w:tmpl w:val="103E692A"/>
    <w:lvl w:ilvl="0">
      <w:start w:val="1"/>
      <w:numFmt w:val="decimal"/>
      <w:pStyle w:val="UnnumtextFigurecaption"/>
      <w:suff w:val="nothing"/>
      <w:lvlText w:val="Figure %1  "/>
      <w:lvlJc w:val="left"/>
      <w:pPr>
        <w:ind w:left="0" w:firstLine="0"/>
      </w:pPr>
      <w:rPr>
        <w:rFonts w:hint="default"/>
        <w:b/>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3" w15:restartNumberingAfterBreak="0">
    <w:nsid w:val="1B7871F3"/>
    <w:multiLevelType w:val="multilevel"/>
    <w:tmpl w:val="A3989984"/>
    <w:lvl w:ilvl="0">
      <w:start w:val="1"/>
      <w:numFmt w:val="none"/>
      <w:pStyle w:val="ListStartNumtextBodytext"/>
      <w:suff w:val="nothing"/>
      <w:lvlText w:val=""/>
      <w:lvlJc w:val="left"/>
      <w:pPr>
        <w:ind w:left="-284" w:firstLine="284"/>
      </w:pPr>
      <w:rPr>
        <w:rFonts w:hint="default"/>
      </w:rPr>
    </w:lvl>
    <w:lvl w:ilvl="1">
      <w:start w:val="1"/>
      <w:numFmt w:val="decimal"/>
      <w:pStyle w:val="Numtext1-Bodytextlevel1"/>
      <w:lvlText w:val="%2."/>
      <w:lvlJc w:val="left"/>
      <w:pPr>
        <w:tabs>
          <w:tab w:val="num" w:pos="680"/>
        </w:tabs>
        <w:ind w:left="425" w:hanging="425"/>
      </w:pPr>
      <w:rPr>
        <w:rFonts w:hint="default"/>
      </w:rPr>
    </w:lvl>
    <w:lvl w:ilvl="2">
      <w:start w:val="1"/>
      <w:numFmt w:val="lowerLetter"/>
      <w:pStyle w:val="Numtexta-Bodytextlevel2"/>
      <w:lvlText w:val="(%3)"/>
      <w:lvlJc w:val="left"/>
      <w:pPr>
        <w:tabs>
          <w:tab w:val="num" w:pos="1134"/>
        </w:tabs>
        <w:ind w:left="851" w:hanging="426"/>
      </w:pPr>
      <w:rPr>
        <w:rFonts w:hint="default"/>
      </w:rPr>
    </w:lvl>
    <w:lvl w:ilvl="3">
      <w:start w:val="1"/>
      <w:numFmt w:val="lowerRoman"/>
      <w:pStyle w:val="Numtexti-Bodytextlevel3"/>
      <w:lvlText w:val="(%4)"/>
      <w:lvlJc w:val="left"/>
      <w:pPr>
        <w:tabs>
          <w:tab w:val="num" w:pos="1588"/>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4" w15:restartNumberingAfterBreak="0">
    <w:nsid w:val="1BB36942"/>
    <w:multiLevelType w:val="multilevel"/>
    <w:tmpl w:val="9F724932"/>
    <w:lvl w:ilvl="0">
      <w:start w:val="1"/>
      <w:numFmt w:val="decimal"/>
      <w:pStyle w:val="Notes"/>
      <w:lvlText w:val="%1."/>
      <w:lvlJc w:val="left"/>
      <w:pPr>
        <w:tabs>
          <w:tab w:val="num" w:pos="284"/>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16" w15:restartNumberingAfterBreak="0">
    <w:nsid w:val="211A0911"/>
    <w:multiLevelType w:val="hybridMultilevel"/>
    <w:tmpl w:val="FC0038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2652F7F"/>
    <w:multiLevelType w:val="multilevel"/>
    <w:tmpl w:val="0409001D"/>
    <w:name w:val="Liststartnumtextbodytex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9" w15:restartNumberingAfterBreak="0">
    <w:nsid w:val="29C073FB"/>
    <w:multiLevelType w:val="multilevel"/>
    <w:tmpl w:val="37F62CBC"/>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2E286831"/>
    <w:multiLevelType w:val="multilevel"/>
    <w:tmpl w:val="BF1E6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064CB1"/>
    <w:multiLevelType w:val="hybridMultilevel"/>
    <w:tmpl w:val="E6945662"/>
    <w:lvl w:ilvl="0" w:tplc="37EEFF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3643CEC"/>
    <w:multiLevelType w:val="multilevel"/>
    <w:tmpl w:val="2BD4E3FC"/>
    <w:lvl w:ilvl="0">
      <w:start w:val="1"/>
      <w:numFmt w:val="decimal"/>
      <w:pStyle w:val="Question"/>
      <w:suff w:val="nothing"/>
      <w:lvlText w:val="Question %1:  "/>
      <w:lvlJc w:val="left"/>
      <w:pPr>
        <w:ind w:left="0" w:firstLine="0"/>
      </w:pPr>
      <w:rPr>
        <w:rFonts w:hint="default"/>
        <w:b/>
        <w:i w:val="0"/>
      </w:rPr>
    </w:lvl>
    <w:lvl w:ilvl="1">
      <w:start w:val="1"/>
      <w:numFmt w:val="none"/>
      <w:pStyle w:val="BodyText"/>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E4178AB"/>
    <w:multiLevelType w:val="multilevel"/>
    <w:tmpl w:val="0916F22A"/>
    <w:lvl w:ilvl="0">
      <w:start w:val="1"/>
      <w:numFmt w:val="bullet"/>
      <w:pStyle w:val="Tablebullet1atmargin"/>
      <w:lvlText w:val="•"/>
      <w:lvlJc w:val="left"/>
      <w:pPr>
        <w:tabs>
          <w:tab w:val="num" w:pos="425"/>
        </w:tabs>
        <w:ind w:left="851" w:hanging="426"/>
      </w:pPr>
      <w:rPr>
        <w:rFonts w:ascii="Garamond" w:hAnsi="Garamond" w:hint="default"/>
        <w:color w:val="7B5E05"/>
      </w:rPr>
    </w:lvl>
    <w:lvl w:ilvl="1">
      <w:start w:val="1"/>
      <w:numFmt w:val="bullet"/>
      <w:pStyle w:val="Tablebullet2atmargin"/>
      <w:lvlText w:val=""/>
      <w:lvlJc w:val="left"/>
      <w:pPr>
        <w:tabs>
          <w:tab w:val="num" w:pos="851"/>
        </w:tabs>
        <w:ind w:left="1276" w:hanging="425"/>
      </w:pPr>
      <w:rPr>
        <w:rFonts w:ascii="Symbol" w:hAnsi="Symbol" w:hint="default"/>
      </w:rPr>
    </w:lvl>
    <w:lvl w:ilvl="2">
      <w:start w:val="1"/>
      <w:numFmt w:val="none"/>
      <w:suff w:val="nothing"/>
      <w:lvlText w:val=""/>
      <w:lvlJc w:val="left"/>
      <w:pPr>
        <w:ind w:left="851"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31844E8"/>
    <w:multiLevelType w:val="multilevel"/>
    <w:tmpl w:val="C6369AE2"/>
    <w:lvl w:ilvl="0">
      <w:start w:val="1"/>
      <w:numFmt w:val="none"/>
      <w:lvlText w:val=""/>
      <w:lvlJc w:val="left"/>
      <w:pPr>
        <w:tabs>
          <w:tab w:val="num" w:pos="0"/>
        </w:tabs>
        <w:ind w:left="-283" w:firstLine="283"/>
      </w:pPr>
      <w:rPr>
        <w:rFonts w:hint="default"/>
      </w:rPr>
    </w:lvl>
    <w:lvl w:ilvl="1">
      <w:start w:val="1"/>
      <w:numFmt w:val="decimal"/>
      <w:pStyle w:val="ListNumber"/>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44CD3286"/>
    <w:multiLevelType w:val="multilevel"/>
    <w:tmpl w:val="123AABD2"/>
    <w:lvl w:ilvl="0">
      <w:start w:val="1"/>
      <w:numFmt w:val="none"/>
      <w:pStyle w:val="ListStartNumberedheadings"/>
      <w:suff w:val="nothing"/>
      <w:lvlText w:val=""/>
      <w:lvlJc w:val="left"/>
      <w:pPr>
        <w:ind w:left="0" w:firstLine="0"/>
      </w:pPr>
      <w:rPr>
        <w:rFonts w:hint="default"/>
      </w:rPr>
    </w:lvl>
    <w:lvl w:ilvl="1">
      <w:start w:val="1"/>
      <w:numFmt w:val="decimal"/>
      <w:pStyle w:val="Heading1"/>
      <w:lvlText w:val="%2."/>
      <w:lvlJc w:val="left"/>
      <w:pPr>
        <w:tabs>
          <w:tab w:val="num" w:pos="851"/>
        </w:tabs>
        <w:ind w:left="851" w:hanging="851"/>
      </w:pPr>
      <w:rPr>
        <w:rFonts w:hint="default"/>
      </w:rPr>
    </w:lvl>
    <w:lvl w:ilvl="2">
      <w:start w:val="1"/>
      <w:numFmt w:val="decimal"/>
      <w:pStyle w:val="Heading2"/>
      <w:lvlText w:val="%2.%3"/>
      <w:lvlJc w:val="left"/>
      <w:pPr>
        <w:tabs>
          <w:tab w:val="num" w:pos="851"/>
        </w:tabs>
        <w:ind w:left="851" w:hanging="851"/>
      </w:pPr>
      <w:rPr>
        <w:rFonts w:hint="default"/>
      </w:rPr>
    </w:lvl>
    <w:lvl w:ilvl="3">
      <w:start w:val="1"/>
      <w:numFmt w:val="decimal"/>
      <w:pStyle w:val="Heading3"/>
      <w:lvlText w:val="%2.%3.%4"/>
      <w:lvlJc w:val="left"/>
      <w:pPr>
        <w:tabs>
          <w:tab w:val="num" w:pos="851"/>
        </w:tabs>
        <w:ind w:left="851" w:hanging="851"/>
      </w:pPr>
      <w:rPr>
        <w:rFonts w:hint="default"/>
      </w:rPr>
    </w:lvl>
    <w:lvl w:ilvl="4">
      <w:start w:val="1"/>
      <w:numFmt w:val="none"/>
      <w:lvlRestart w:val="0"/>
      <w:pStyle w:val="Heading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tabs>
          <w:tab w:val="num" w:pos="360"/>
        </w:tabs>
        <w:ind w:left="851" w:hanging="851"/>
      </w:pPr>
      <w:rPr>
        <w:rFonts w:hint="default"/>
      </w:rPr>
    </w:lvl>
    <w:lvl w:ilvl="7">
      <w:start w:val="1"/>
      <w:numFmt w:val="lowerLetter"/>
      <w:lvlText w:val="%8."/>
      <w:lvlJc w:val="left"/>
      <w:pPr>
        <w:tabs>
          <w:tab w:val="num" w:pos="360"/>
        </w:tabs>
        <w:ind w:left="851" w:hanging="851"/>
      </w:pPr>
      <w:rPr>
        <w:rFonts w:hint="default"/>
      </w:rPr>
    </w:lvl>
    <w:lvl w:ilvl="8">
      <w:start w:val="1"/>
      <w:numFmt w:val="lowerRoman"/>
      <w:lvlText w:val="%9."/>
      <w:lvlJc w:val="left"/>
      <w:pPr>
        <w:tabs>
          <w:tab w:val="num" w:pos="360"/>
        </w:tabs>
        <w:ind w:left="851" w:hanging="851"/>
      </w:pPr>
      <w:rPr>
        <w:rFonts w:hint="default"/>
      </w:rPr>
    </w:lvl>
  </w:abstractNum>
  <w:abstractNum w:abstractNumId="26" w15:restartNumberingAfterBreak="0">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07135D4"/>
    <w:multiLevelType w:val="multilevel"/>
    <w:tmpl w:val="07C0A988"/>
    <w:lvl w:ilvl="0">
      <w:start w:val="1"/>
      <w:numFmt w:val="decimal"/>
      <w:pStyle w:val="ApxHeading1"/>
      <w:suff w:val="nothing"/>
      <w:lvlText w:val="Appendix %1"/>
      <w:lvlJc w:val="left"/>
      <w:pPr>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51DB1489"/>
    <w:multiLevelType w:val="multilevel"/>
    <w:tmpl w:val="BBA2E8B4"/>
    <w:name w:val="Liststartnumtextbodytext"/>
    <w:lvl w:ilvl="0">
      <w:start w:val="1"/>
      <w:numFmt w:val="none"/>
      <w:suff w:val="nothing"/>
      <w:lvlText w:val=""/>
      <w:lvlJc w:val="left"/>
      <w:pPr>
        <w:ind w:left="-284" w:firstLine="284"/>
      </w:pPr>
      <w:rPr>
        <w:rFonts w:hint="default"/>
      </w:rPr>
    </w:lvl>
    <w:lvl w:ilvl="1">
      <w:start w:val="1"/>
      <w:numFmt w:val="decimal"/>
      <w:lvlText w:val="%2"/>
      <w:lvlJc w:val="left"/>
      <w:pPr>
        <w:tabs>
          <w:tab w:val="num" w:pos="992"/>
        </w:tabs>
        <w:ind w:left="992" w:hanging="992"/>
      </w:pPr>
      <w:rPr>
        <w:rFonts w:hint="default"/>
      </w:rPr>
    </w:lvl>
    <w:lvl w:ilvl="2">
      <w:start w:val="1"/>
      <w:numFmt w:val="decimal"/>
      <w:lvlText w:val="%2.%3"/>
      <w:lvlJc w:val="left"/>
      <w:pPr>
        <w:tabs>
          <w:tab w:val="num" w:pos="992"/>
        </w:tabs>
        <w:ind w:left="992" w:hanging="992"/>
      </w:pPr>
      <w:rPr>
        <w:rFonts w:hint="default"/>
      </w:rPr>
    </w:lvl>
    <w:lvl w:ilvl="3">
      <w:start w:val="1"/>
      <w:numFmt w:val="decimal"/>
      <w:lvlText w:val="%2.%3.%4"/>
      <w:lvlJc w:val="left"/>
      <w:pPr>
        <w:tabs>
          <w:tab w:val="num" w:pos="992"/>
        </w:tabs>
        <w:ind w:left="992" w:hanging="992"/>
      </w:pPr>
      <w:rPr>
        <w:rFonts w:hint="default"/>
      </w:rPr>
    </w:lvl>
    <w:lvl w:ilvl="4">
      <w:start w:val="1"/>
      <w:numFmt w:val="lowerLetter"/>
      <w:lvlText w:val="%5)"/>
      <w:lvlJc w:val="left"/>
      <w:pPr>
        <w:tabs>
          <w:tab w:val="num" w:pos="1418"/>
        </w:tabs>
        <w:ind w:left="1418" w:hanging="426"/>
      </w:pPr>
      <w:rPr>
        <w:rFonts w:hint="default"/>
      </w:rPr>
    </w:lvl>
    <w:lvl w:ilvl="5">
      <w:start w:val="1"/>
      <w:numFmt w:val="lowerRoman"/>
      <w:lvlText w:val="%6)"/>
      <w:lvlJc w:val="left"/>
      <w:pPr>
        <w:tabs>
          <w:tab w:val="num" w:pos="1843"/>
        </w:tabs>
        <w:ind w:left="1843" w:hanging="425"/>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9" w15:restartNumberingAfterBreak="0">
    <w:nsid w:val="564B4E8E"/>
    <w:multiLevelType w:val="multilevel"/>
    <w:tmpl w:val="D0DE62F0"/>
    <w:lvl w:ilvl="0">
      <w:start w:val="1"/>
      <w:numFmt w:val="bullet"/>
      <w:pStyle w:val="NumtextBullet1"/>
      <w:lvlText w:val="•"/>
      <w:lvlJc w:val="left"/>
      <w:pPr>
        <w:tabs>
          <w:tab w:val="num" w:pos="1134"/>
        </w:tabs>
        <w:ind w:left="1134" w:hanging="454"/>
      </w:pPr>
      <w:rPr>
        <w:rFonts w:ascii="Garamond" w:hAnsi="Garamond" w:hint="default"/>
        <w:color w:val="7B5E05"/>
      </w:rPr>
    </w:lvl>
    <w:lvl w:ilvl="1">
      <w:start w:val="1"/>
      <w:numFmt w:val="bullet"/>
      <w:pStyle w:val="NumtextBullet2"/>
      <w:lvlText w:val=""/>
      <w:lvlJc w:val="left"/>
      <w:pPr>
        <w:tabs>
          <w:tab w:val="num" w:pos="1588"/>
        </w:tabs>
        <w:ind w:left="1588" w:hanging="454"/>
      </w:pPr>
      <w:rPr>
        <w:rFonts w:ascii="Symbol" w:hAnsi="Symbol" w:hint="default"/>
      </w:rPr>
    </w:lvl>
    <w:lvl w:ilvl="2">
      <w:start w:val="1"/>
      <w:numFmt w:val="none"/>
      <w:pStyle w:val="NumtextBullet3"/>
      <w:suff w:val="nothing"/>
      <w:lvlText w:val=""/>
      <w:lvlJc w:val="left"/>
      <w:pPr>
        <w:ind w:left="1588" w:firstLine="0"/>
      </w:pPr>
      <w:rPr>
        <w:rFonts w:hint="default"/>
      </w:rPr>
    </w:lvl>
    <w:lvl w:ilvl="3">
      <w:start w:val="1"/>
      <w:numFmt w:val="none"/>
      <w:lvlText w:val="%4"/>
      <w:lvlJc w:val="left"/>
      <w:pPr>
        <w:tabs>
          <w:tab w:val="num" w:pos="3119"/>
        </w:tabs>
        <w:ind w:left="3119" w:hanging="567"/>
      </w:pPr>
      <w:rPr>
        <w:rFonts w:hint="default"/>
      </w:rPr>
    </w:lvl>
    <w:lvl w:ilvl="4">
      <w:start w:val="1"/>
      <w:numFmt w:val="none"/>
      <w:lvlText w:val="%5"/>
      <w:lvlJc w:val="left"/>
      <w:pPr>
        <w:tabs>
          <w:tab w:val="num" w:pos="3544"/>
        </w:tabs>
        <w:ind w:left="3544" w:hanging="567"/>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0" w15:restartNumberingAfterBreak="0">
    <w:nsid w:val="57285BD8"/>
    <w:multiLevelType w:val="multilevel"/>
    <w:tmpl w:val="55145A5C"/>
    <w:lvl w:ilvl="0">
      <w:start w:val="1"/>
      <w:numFmt w:val="decimal"/>
      <w:pStyle w:val="UnnumtextTablecaption"/>
      <w:suff w:val="nothing"/>
      <w:lvlText w:val="Table %1  "/>
      <w:lvlJc w:val="left"/>
      <w:pPr>
        <w:ind w:left="0"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31" w15:restartNumberingAfterBreak="0">
    <w:nsid w:val="57E1183A"/>
    <w:multiLevelType w:val="multilevel"/>
    <w:tmpl w:val="144C26CC"/>
    <w:lvl w:ilvl="0">
      <w:start w:val="1"/>
      <w:numFmt w:val="none"/>
      <w:pStyle w:val="ListStartNumberedparagraphs"/>
      <w:suff w:val="nothing"/>
      <w:lvlText w:val="%1"/>
      <w:lvlJc w:val="left"/>
      <w:pPr>
        <w:ind w:left="-284" w:firstLine="284"/>
      </w:pPr>
      <w:rPr>
        <w:rFonts w:hint="default"/>
      </w:rPr>
    </w:lvl>
    <w:lvl w:ilvl="1">
      <w:start w:val="1"/>
      <w:numFmt w:val="decimal"/>
      <w:pStyle w:val="Numberedparagraphs-1"/>
      <w:lvlText w:val="%2."/>
      <w:lvlJc w:val="left"/>
      <w:pPr>
        <w:tabs>
          <w:tab w:val="num" w:pos="425"/>
        </w:tabs>
        <w:ind w:left="425" w:hanging="425"/>
      </w:pPr>
      <w:rPr>
        <w:rFonts w:hint="default"/>
      </w:rPr>
    </w:lvl>
    <w:lvl w:ilvl="2">
      <w:start w:val="1"/>
      <w:numFmt w:val="lowerLetter"/>
      <w:pStyle w:val="Numberedparagraphs-a"/>
      <w:lvlText w:val="(%3)"/>
      <w:lvlJc w:val="left"/>
      <w:pPr>
        <w:tabs>
          <w:tab w:val="num" w:pos="851"/>
        </w:tabs>
        <w:ind w:left="851" w:hanging="426"/>
      </w:pPr>
      <w:rPr>
        <w:rFonts w:hint="default"/>
      </w:rPr>
    </w:lvl>
    <w:lvl w:ilvl="3">
      <w:start w:val="1"/>
      <w:numFmt w:val="lowerRoman"/>
      <w:pStyle w:val="Numberedparagraphs-i"/>
      <w:lvlText w:val="(%4)"/>
      <w:lvlJc w:val="left"/>
      <w:pPr>
        <w:tabs>
          <w:tab w:val="num" w:pos="1276"/>
        </w:tabs>
        <w:ind w:left="1276" w:hanging="425"/>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2" w15:restartNumberingAfterBreak="0">
    <w:nsid w:val="5B911888"/>
    <w:multiLevelType w:val="multilevel"/>
    <w:tmpl w:val="AD8E9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13E53B2"/>
    <w:multiLevelType w:val="multilevel"/>
    <w:tmpl w:val="5C58F86E"/>
    <w:lvl w:ilvl="0">
      <w:start w:val="1"/>
      <w:numFmt w:val="decimal"/>
      <w:pStyle w:val="NumtextTablecaption"/>
      <w:suff w:val="nothing"/>
      <w:lvlText w:val="Table %1  "/>
      <w:lvlJc w:val="left"/>
      <w:pPr>
        <w:ind w:left="425" w:firstLine="0"/>
      </w:pPr>
      <w:rPr>
        <w:rFonts w:hint="default"/>
        <w:b/>
        <w:i w:val="0"/>
      </w:rPr>
    </w:lvl>
    <w:lvl w:ilvl="1">
      <w:start w:val="1"/>
      <w:numFmt w:val="bullet"/>
      <w:lvlText w:val=""/>
      <w:lvlJc w:val="left"/>
      <w:pPr>
        <w:tabs>
          <w:tab w:val="num" w:pos="1276"/>
        </w:tabs>
        <w:ind w:left="1276" w:hanging="426"/>
      </w:pPr>
      <w:rPr>
        <w:rFonts w:ascii="Symbol" w:hAnsi="Symbol"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34" w15:restartNumberingAfterBreak="0">
    <w:nsid w:val="63C137F7"/>
    <w:multiLevelType w:val="multilevel"/>
    <w:tmpl w:val="10DACB8E"/>
    <w:name w:val="ListNumberedParas"/>
    <w:lvl w:ilvl="0">
      <w:start w:val="1"/>
      <w:numFmt w:val="none"/>
      <w:lvlText w:val="%1"/>
      <w:lvlJc w:val="left"/>
      <w:pPr>
        <w:tabs>
          <w:tab w:val="num" w:pos="0"/>
        </w:tabs>
        <w:ind w:left="-284" w:firstLine="284"/>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0"/>
        </w:tabs>
        <w:ind w:left="1701" w:hanging="425"/>
      </w:pPr>
      <w:rPr>
        <w:rFonts w:hint="default"/>
      </w:rPr>
    </w:lvl>
    <w:lvl w:ilvl="4">
      <w:start w:val="1"/>
      <w:numFmt w:val="none"/>
      <w:suff w:val="nothing"/>
      <w:lvlText w:val=""/>
      <w:lvlJc w:val="left"/>
      <w:pPr>
        <w:ind w:left="1701"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5" w15:restartNumberingAfterBreak="0">
    <w:nsid w:val="6465464A"/>
    <w:multiLevelType w:val="multilevel"/>
    <w:tmpl w:val="6F8249EC"/>
    <w:lvl w:ilvl="0">
      <w:start w:val="1"/>
      <w:numFmt w:val="bullet"/>
      <w:pStyle w:val="Tablebullet1afternumbering"/>
      <w:lvlText w:val="•"/>
      <w:lvlJc w:val="left"/>
      <w:pPr>
        <w:tabs>
          <w:tab w:val="num" w:pos="425"/>
        </w:tabs>
        <w:ind w:left="851" w:hanging="426"/>
      </w:pPr>
      <w:rPr>
        <w:rFonts w:ascii="Garamond" w:hAnsi="Garamond" w:hint="default"/>
        <w:color w:val="7B5E05"/>
      </w:rPr>
    </w:lvl>
    <w:lvl w:ilvl="1">
      <w:start w:val="1"/>
      <w:numFmt w:val="bullet"/>
      <w:pStyle w:val="Tablebullet2afternumbering"/>
      <w:lvlText w:val=""/>
      <w:lvlJc w:val="left"/>
      <w:pPr>
        <w:tabs>
          <w:tab w:val="num" w:pos="851"/>
        </w:tabs>
        <w:ind w:left="1276" w:hanging="425"/>
      </w:pPr>
      <w:rPr>
        <w:rFonts w:ascii="Symbol" w:hAnsi="Symbol" w:hint="default"/>
      </w:rPr>
    </w:lvl>
    <w:lvl w:ilvl="2">
      <w:start w:val="1"/>
      <w:numFmt w:val="none"/>
      <w:suff w:val="nothing"/>
      <w:lvlText w:val=""/>
      <w:lvlJc w:val="left"/>
      <w:pPr>
        <w:ind w:left="1276"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2BD7E5C"/>
    <w:multiLevelType w:val="multilevel"/>
    <w:tmpl w:val="54584F52"/>
    <w:name w:val="NumTextList"/>
    <w:lvl w:ilvl="0">
      <w:start w:val="1"/>
      <w:numFmt w:val="none"/>
      <w:suff w:val="nothing"/>
      <w:lvlText w:val=""/>
      <w:lvlJc w:val="left"/>
      <w:pPr>
        <w:ind w:left="-284" w:firstLine="284"/>
      </w:pPr>
      <w:rPr>
        <w:rFonts w:hint="default"/>
      </w:rPr>
    </w:lvl>
    <w:lvl w:ilvl="1">
      <w:start w:val="1"/>
      <w:numFmt w:val="decimal"/>
      <w:lvlText w:val="%2."/>
      <w:lvlJc w:val="left"/>
      <w:pPr>
        <w:tabs>
          <w:tab w:val="num" w:pos="680"/>
        </w:tabs>
        <w:ind w:left="680" w:hanging="680"/>
      </w:pPr>
      <w:rPr>
        <w:rFonts w:hint="default"/>
      </w:rPr>
    </w:lvl>
    <w:lvl w:ilvl="2">
      <w:start w:val="1"/>
      <w:numFmt w:val="lowerLetter"/>
      <w:lvlText w:val="(%3)"/>
      <w:lvlJc w:val="left"/>
      <w:pPr>
        <w:tabs>
          <w:tab w:val="num" w:pos="1134"/>
        </w:tabs>
        <w:ind w:left="1134" w:hanging="454"/>
      </w:pPr>
      <w:rPr>
        <w:rFonts w:hint="default"/>
      </w:rPr>
    </w:lvl>
    <w:lvl w:ilvl="3">
      <w:start w:val="1"/>
      <w:numFmt w:val="lowerRoman"/>
      <w:lvlText w:val="(%4)"/>
      <w:lvlJc w:val="left"/>
      <w:pPr>
        <w:tabs>
          <w:tab w:val="num" w:pos="1588"/>
        </w:tabs>
        <w:ind w:left="1588" w:hanging="454"/>
      </w:pPr>
      <w:rPr>
        <w:rFonts w:hint="default"/>
      </w:rPr>
    </w:lvl>
    <w:lvl w:ilvl="4">
      <w:start w:val="1"/>
      <w:numFmt w:val="none"/>
      <w:suff w:val="nothing"/>
      <w:lvlText w:val=""/>
      <w:lvlJc w:val="left"/>
      <w:pPr>
        <w:ind w:left="1588" w:firstLine="0"/>
      </w:pPr>
      <w:rPr>
        <w:rFonts w:hint="default"/>
      </w:rPr>
    </w:lvl>
    <w:lvl w:ilvl="5">
      <w:start w:val="1"/>
      <w:numFmt w:val="none"/>
      <w:suff w:val="nothing"/>
      <w:lvlText w:val="%6"/>
      <w:lvlJc w:val="left"/>
      <w:pPr>
        <w:ind w:left="-32766" w:hanging="31182"/>
      </w:pPr>
      <w:rPr>
        <w:rFonts w:hint="default"/>
      </w:rPr>
    </w:lvl>
    <w:lvl w:ilvl="6">
      <w:start w:val="1"/>
      <w:numFmt w:val="none"/>
      <w:suff w:val="nothing"/>
      <w:lvlText w:val=""/>
      <w:lvlJc w:val="left"/>
      <w:pPr>
        <w:ind w:left="184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37" w15:restartNumberingAfterBreak="0">
    <w:nsid w:val="759F2F29"/>
    <w:multiLevelType w:val="multilevel"/>
    <w:tmpl w:val="8D28CE5A"/>
    <w:lvl w:ilvl="0">
      <w:start w:val="1"/>
      <w:numFmt w:val="bullet"/>
      <w:pStyle w:val="UnnumtextBullet1"/>
      <w:lvlText w:val="•"/>
      <w:lvlJc w:val="left"/>
      <w:pPr>
        <w:tabs>
          <w:tab w:val="num" w:pos="425"/>
        </w:tabs>
        <w:ind w:left="425" w:hanging="425"/>
      </w:pPr>
      <w:rPr>
        <w:rFonts w:ascii="Garamond" w:hAnsi="Garamond" w:hint="default"/>
        <w:color w:val="7B5E05"/>
      </w:rPr>
    </w:lvl>
    <w:lvl w:ilvl="1">
      <w:start w:val="1"/>
      <w:numFmt w:val="bullet"/>
      <w:pStyle w:val="UnnumtextBullet2"/>
      <w:lvlText w:val=""/>
      <w:lvlJc w:val="left"/>
      <w:pPr>
        <w:tabs>
          <w:tab w:val="num" w:pos="851"/>
        </w:tabs>
        <w:ind w:left="851" w:hanging="426"/>
      </w:pPr>
      <w:rPr>
        <w:rFonts w:ascii="Symbol" w:hAnsi="Symbol" w:hint="default"/>
      </w:rPr>
    </w:lvl>
    <w:lvl w:ilvl="2">
      <w:start w:val="1"/>
      <w:numFmt w:val="none"/>
      <w:pStyle w:val="UnnumtextBullet3"/>
      <w:suff w:val="nothing"/>
      <w:lvlText w:val=""/>
      <w:lvlJc w:val="left"/>
      <w:pPr>
        <w:ind w:left="851"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60B4AD3"/>
    <w:multiLevelType w:val="hybridMultilevel"/>
    <w:tmpl w:val="69B23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731CE6"/>
    <w:multiLevelType w:val="multilevel"/>
    <w:tmpl w:val="CAFE2CA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bullet"/>
      <w:lvlText w:val=""/>
      <w:lvlJc w:val="left"/>
      <w:pPr>
        <w:tabs>
          <w:tab w:val="num" w:pos="360"/>
        </w:tabs>
        <w:ind w:left="851" w:hanging="851"/>
      </w:pPr>
      <w:rPr>
        <w:rFonts w:ascii="Symbol" w:hAnsi="Symbol" w:hint="default"/>
      </w:rPr>
    </w:lvl>
    <w:lvl w:ilvl="7">
      <w:start w:val="1"/>
      <w:numFmt w:val="lowerLetter"/>
      <w:lvlText w:val="%8."/>
      <w:lvlJc w:val="left"/>
      <w:pPr>
        <w:tabs>
          <w:tab w:val="num" w:pos="360"/>
        </w:tabs>
        <w:ind w:left="851" w:hanging="851"/>
      </w:pPr>
      <w:rPr>
        <w:rFonts w:hint="default"/>
      </w:rPr>
    </w:lvl>
    <w:lvl w:ilvl="8">
      <w:start w:val="1"/>
      <w:numFmt w:val="lowerRoman"/>
      <w:lvlText w:val="%9."/>
      <w:lvlJc w:val="left"/>
      <w:pPr>
        <w:tabs>
          <w:tab w:val="num" w:pos="360"/>
        </w:tabs>
        <w:ind w:left="851" w:hanging="851"/>
      </w:pPr>
      <w:rPr>
        <w:rFonts w:hint="default"/>
      </w:rPr>
    </w:lvl>
  </w:abstractNum>
  <w:abstractNum w:abstractNumId="41" w15:restartNumberingAfterBreak="0">
    <w:nsid w:val="7B1E72A1"/>
    <w:multiLevelType w:val="multilevel"/>
    <w:tmpl w:val="5D04F5B8"/>
    <w:lvl w:ilvl="0">
      <w:start w:val="1"/>
      <w:numFmt w:val="decimal"/>
      <w:pStyle w:val="NumtextFigurecaption"/>
      <w:suff w:val="nothing"/>
      <w:lvlText w:val="Figure %1  "/>
      <w:lvlJc w:val="left"/>
      <w:pPr>
        <w:ind w:left="425" w:firstLine="0"/>
      </w:pPr>
      <w:rPr>
        <w:rFonts w:hint="default"/>
        <w:b/>
        <w:i w:val="0"/>
      </w:rPr>
    </w:lvl>
    <w:lvl w:ilvl="1">
      <w:start w:val="1"/>
      <w:numFmt w:val="lowerLetter"/>
      <w:lvlText w:val="%2)"/>
      <w:lvlJc w:val="left"/>
      <w:pPr>
        <w:tabs>
          <w:tab w:val="num" w:pos="1145"/>
        </w:tabs>
        <w:ind w:left="1145" w:hanging="36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42" w15:restartNumberingAfterBreak="0">
    <w:nsid w:val="7F872CE8"/>
    <w:multiLevelType w:val="multilevel"/>
    <w:tmpl w:val="AD8E9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39"/>
  </w:num>
  <w:num w:numId="3">
    <w:abstractNumId w:val="26"/>
  </w:num>
  <w:num w:numId="4">
    <w:abstractNumId w:val="10"/>
  </w:num>
  <w:num w:numId="5">
    <w:abstractNumId w:val="19"/>
  </w:num>
  <w:num w:numId="6">
    <w:abstractNumId w:val="9"/>
  </w:num>
  <w:num w:numId="7">
    <w:abstractNumId w:val="24"/>
  </w:num>
  <w:num w:numId="8">
    <w:abstractNumId w:val="13"/>
  </w:num>
  <w:num w:numId="9">
    <w:abstractNumId w:val="29"/>
  </w:num>
  <w:num w:numId="10">
    <w:abstractNumId w:val="41"/>
  </w:num>
  <w:num w:numId="11">
    <w:abstractNumId w:val="15"/>
  </w:num>
  <w:num w:numId="12">
    <w:abstractNumId w:val="33"/>
  </w:num>
  <w:num w:numId="13">
    <w:abstractNumId w:val="7"/>
  </w:num>
  <w:num w:numId="14">
    <w:abstractNumId w:val="8"/>
  </w:num>
  <w:num w:numId="15">
    <w:abstractNumId w:val="37"/>
  </w:num>
  <w:num w:numId="16">
    <w:abstractNumId w:val="12"/>
  </w:num>
  <w:num w:numId="17">
    <w:abstractNumId w:val="30"/>
  </w:num>
  <w:num w:numId="18">
    <w:abstractNumId w:val="14"/>
  </w:num>
  <w:num w:numId="19">
    <w:abstractNumId w:val="22"/>
  </w:num>
  <w:num w:numId="20">
    <w:abstractNumId w:val="27"/>
  </w:num>
  <w:num w:numId="21">
    <w:abstractNumId w:val="31"/>
  </w:num>
  <w:num w:numId="22">
    <w:abstractNumId w:val="25"/>
  </w:num>
  <w:num w:numId="23">
    <w:abstractNumId w:val="35"/>
  </w:num>
  <w:num w:numId="24">
    <w:abstractNumId w:val="23"/>
  </w:num>
  <w:num w:numId="25">
    <w:abstractNumId w:val="32"/>
  </w:num>
  <w:num w:numId="26">
    <w:abstractNumId w:val="16"/>
  </w:num>
  <w:num w:numId="27">
    <w:abstractNumId w:val="4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7"/>
  </w:num>
  <w:num w:numId="31">
    <w:abstractNumId w:val="40"/>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0"/>
  </w:num>
  <w:num w:numId="4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NZ" w:vendorID="8" w:dllVersion="513" w:checkStyle="1"/>
  <w:activeWritingStyle w:appName="MSWord" w:lang="en-GB"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425"/>
  <w:evenAndOddHeaders/>
  <w:drawingGridHorizontalSpacing w:val="110"/>
  <w:drawingGridVerticalSpacing w:val="6"/>
  <w:displayHorizontalDrawingGridEvery w:val="0"/>
  <w:displayVerticalDrawingGridEvery w:val="0"/>
  <w:noPunctuationKerning/>
  <w:characterSpacingControl w:val="doNotCompress"/>
  <w:hdrShapeDefaults>
    <o:shapedefaults v:ext="edit" spidmax="16385">
      <o:colormru v:ext="edit" colors="#006270,#7b5e05"/>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DateAndTime" w:val="-1"/>
    <w:docVar w:name="chkPrivileged" w:val="-1"/>
    <w:docVar w:name="chkShowFooterText" w:val="-1"/>
    <w:docVar w:name="chkShowSaveDate" w:val="-1"/>
    <w:docVar w:name="ContentsAppendix" w:val="1"/>
    <w:docVar w:name="ContentsAppendixLevel" w:val="1"/>
    <w:docVar w:name="ContentsCreated" w:val="1"/>
    <w:docVar w:name="ContentsFigure" w:val="1"/>
    <w:docVar w:name="ContentsMain" w:val="1"/>
    <w:docVar w:name="ContentsMainLevel" w:val="3"/>
    <w:docVar w:name="ContentsTable" w:val="1"/>
    <w:docVar w:name="DocumentStatus" w:val="CHANGED"/>
    <w:docVar w:name="ftrFootertext" w:val=" "/>
    <w:docVar w:name="IsfirstTb" w:val="True"/>
    <w:docVar w:name="IsInTable" w:val="False"/>
    <w:docVar w:name="rptAuthors" w:val="Tom Love, Rohan Boyle"/>
    <w:docVar w:name="rptCommercial" w:val="False"/>
    <w:docVar w:name="rptContact" w:val="Tom Love"/>
    <w:docVar w:name="rptDate" w:val="14 May 2015"/>
    <w:docVar w:name="rptDateAndTime" w:val="-1"/>
    <w:docVar w:name="rptEmail" w:val="tlove@srgexpert.com"/>
    <w:docVar w:name="rptFootertext" w:val=" "/>
    <w:docVar w:name="rptImage" w:val="None"/>
    <w:docVar w:name="rptMobile" w:val="+64 21 440 334"/>
    <w:docVar w:name="rptPresentedTo" w:val=" "/>
    <w:docVar w:name="rptPrivileged" w:val="True"/>
    <w:docVar w:name="rptPrivilegedText" w:val="Privileged and Confidential"/>
    <w:docVar w:name="rptShowFooterText" w:val="False"/>
    <w:docVar w:name="rptShowSaveDate" w:val="False"/>
    <w:docVar w:name="rptTele" w:val="+64 4 915 7590"/>
    <w:docVar w:name="rptTitle" w:val="Resource impacts of ePortals for general practices - Summary"/>
  </w:docVars>
  <w:rsids>
    <w:rsidRoot w:val="008E3A1A"/>
    <w:rsid w:val="000017DA"/>
    <w:rsid w:val="00004C61"/>
    <w:rsid w:val="00005F8C"/>
    <w:rsid w:val="000068D4"/>
    <w:rsid w:val="00006B58"/>
    <w:rsid w:val="00010139"/>
    <w:rsid w:val="000103DE"/>
    <w:rsid w:val="000116E9"/>
    <w:rsid w:val="000121F8"/>
    <w:rsid w:val="00012E58"/>
    <w:rsid w:val="00014A46"/>
    <w:rsid w:val="00014E10"/>
    <w:rsid w:val="000151EE"/>
    <w:rsid w:val="00016B28"/>
    <w:rsid w:val="00016EF2"/>
    <w:rsid w:val="00021382"/>
    <w:rsid w:val="00021843"/>
    <w:rsid w:val="00022568"/>
    <w:rsid w:val="00022D26"/>
    <w:rsid w:val="00026130"/>
    <w:rsid w:val="000307A0"/>
    <w:rsid w:val="0003173E"/>
    <w:rsid w:val="00031D65"/>
    <w:rsid w:val="00033EDD"/>
    <w:rsid w:val="000355DE"/>
    <w:rsid w:val="00036492"/>
    <w:rsid w:val="00037C32"/>
    <w:rsid w:val="00041B88"/>
    <w:rsid w:val="000428E7"/>
    <w:rsid w:val="00042D39"/>
    <w:rsid w:val="00044305"/>
    <w:rsid w:val="00045050"/>
    <w:rsid w:val="00045533"/>
    <w:rsid w:val="00045DF7"/>
    <w:rsid w:val="0004705F"/>
    <w:rsid w:val="00047366"/>
    <w:rsid w:val="00050001"/>
    <w:rsid w:val="0005095A"/>
    <w:rsid w:val="00052527"/>
    <w:rsid w:val="00052652"/>
    <w:rsid w:val="000526F3"/>
    <w:rsid w:val="000528B9"/>
    <w:rsid w:val="00053998"/>
    <w:rsid w:val="00054015"/>
    <w:rsid w:val="00054C21"/>
    <w:rsid w:val="00054DCA"/>
    <w:rsid w:val="0005642C"/>
    <w:rsid w:val="00056BF5"/>
    <w:rsid w:val="00057998"/>
    <w:rsid w:val="00060864"/>
    <w:rsid w:val="00060A02"/>
    <w:rsid w:val="00062AC9"/>
    <w:rsid w:val="00062D85"/>
    <w:rsid w:val="0006327B"/>
    <w:rsid w:val="000664C5"/>
    <w:rsid w:val="00067B27"/>
    <w:rsid w:val="00070A99"/>
    <w:rsid w:val="00070E30"/>
    <w:rsid w:val="000713FA"/>
    <w:rsid w:val="000724DA"/>
    <w:rsid w:val="00072BBC"/>
    <w:rsid w:val="00074C48"/>
    <w:rsid w:val="00074C5F"/>
    <w:rsid w:val="00074CF2"/>
    <w:rsid w:val="0007568C"/>
    <w:rsid w:val="00077663"/>
    <w:rsid w:val="00077978"/>
    <w:rsid w:val="0008284D"/>
    <w:rsid w:val="00082DDC"/>
    <w:rsid w:val="00082EE5"/>
    <w:rsid w:val="0008470A"/>
    <w:rsid w:val="00085B2F"/>
    <w:rsid w:val="00085C99"/>
    <w:rsid w:val="00087B2C"/>
    <w:rsid w:val="000911CB"/>
    <w:rsid w:val="00091316"/>
    <w:rsid w:val="000A0821"/>
    <w:rsid w:val="000A1B3C"/>
    <w:rsid w:val="000A2B5A"/>
    <w:rsid w:val="000A41C3"/>
    <w:rsid w:val="000A431F"/>
    <w:rsid w:val="000A45ED"/>
    <w:rsid w:val="000A6A69"/>
    <w:rsid w:val="000B1104"/>
    <w:rsid w:val="000B209E"/>
    <w:rsid w:val="000B2127"/>
    <w:rsid w:val="000B31AF"/>
    <w:rsid w:val="000B372F"/>
    <w:rsid w:val="000B3DAB"/>
    <w:rsid w:val="000B4628"/>
    <w:rsid w:val="000B4891"/>
    <w:rsid w:val="000B499B"/>
    <w:rsid w:val="000B6C09"/>
    <w:rsid w:val="000C02E8"/>
    <w:rsid w:val="000C2671"/>
    <w:rsid w:val="000C26EE"/>
    <w:rsid w:val="000C44A7"/>
    <w:rsid w:val="000C44A8"/>
    <w:rsid w:val="000C5231"/>
    <w:rsid w:val="000C647E"/>
    <w:rsid w:val="000D3213"/>
    <w:rsid w:val="000D4E1D"/>
    <w:rsid w:val="000D6AEC"/>
    <w:rsid w:val="000E0B58"/>
    <w:rsid w:val="000E0BFB"/>
    <w:rsid w:val="000E15A6"/>
    <w:rsid w:val="000E41F7"/>
    <w:rsid w:val="000E6672"/>
    <w:rsid w:val="000E6A73"/>
    <w:rsid w:val="000F1181"/>
    <w:rsid w:val="000F11A1"/>
    <w:rsid w:val="000F2213"/>
    <w:rsid w:val="000F2A56"/>
    <w:rsid w:val="000F2FF6"/>
    <w:rsid w:val="000F3D5D"/>
    <w:rsid w:val="000F46D2"/>
    <w:rsid w:val="000F4737"/>
    <w:rsid w:val="000F4CBB"/>
    <w:rsid w:val="000F6674"/>
    <w:rsid w:val="000F7BF5"/>
    <w:rsid w:val="000F7D3A"/>
    <w:rsid w:val="00100780"/>
    <w:rsid w:val="00100C5A"/>
    <w:rsid w:val="00101236"/>
    <w:rsid w:val="00101964"/>
    <w:rsid w:val="00101ED9"/>
    <w:rsid w:val="0010256A"/>
    <w:rsid w:val="00104DE2"/>
    <w:rsid w:val="00107B5F"/>
    <w:rsid w:val="001127BD"/>
    <w:rsid w:val="001133A3"/>
    <w:rsid w:val="0011485F"/>
    <w:rsid w:val="00114F00"/>
    <w:rsid w:val="00114FB5"/>
    <w:rsid w:val="00120355"/>
    <w:rsid w:val="00120408"/>
    <w:rsid w:val="0012094E"/>
    <w:rsid w:val="00120CD5"/>
    <w:rsid w:val="0012154D"/>
    <w:rsid w:val="001235DA"/>
    <w:rsid w:val="001254BE"/>
    <w:rsid w:val="00125760"/>
    <w:rsid w:val="0012707E"/>
    <w:rsid w:val="00127271"/>
    <w:rsid w:val="001303DB"/>
    <w:rsid w:val="001324F6"/>
    <w:rsid w:val="001337C0"/>
    <w:rsid w:val="00133E2C"/>
    <w:rsid w:val="00141A9B"/>
    <w:rsid w:val="00141BC0"/>
    <w:rsid w:val="001428C7"/>
    <w:rsid w:val="00143A6E"/>
    <w:rsid w:val="001442F7"/>
    <w:rsid w:val="00144D75"/>
    <w:rsid w:val="0014537B"/>
    <w:rsid w:val="0014753A"/>
    <w:rsid w:val="00150AFE"/>
    <w:rsid w:val="00150D86"/>
    <w:rsid w:val="00151251"/>
    <w:rsid w:val="00151DD7"/>
    <w:rsid w:val="0015298D"/>
    <w:rsid w:val="00152C2A"/>
    <w:rsid w:val="00152EFF"/>
    <w:rsid w:val="00153F74"/>
    <w:rsid w:val="00154CF4"/>
    <w:rsid w:val="0015636A"/>
    <w:rsid w:val="00156A7B"/>
    <w:rsid w:val="001570B4"/>
    <w:rsid w:val="00157F7D"/>
    <w:rsid w:val="00161AB2"/>
    <w:rsid w:val="00161F40"/>
    <w:rsid w:val="001629D3"/>
    <w:rsid w:val="00163076"/>
    <w:rsid w:val="00165E64"/>
    <w:rsid w:val="001674F2"/>
    <w:rsid w:val="00170B36"/>
    <w:rsid w:val="00171189"/>
    <w:rsid w:val="00172B21"/>
    <w:rsid w:val="00172E41"/>
    <w:rsid w:val="00173B38"/>
    <w:rsid w:val="00174302"/>
    <w:rsid w:val="0017455F"/>
    <w:rsid w:val="00174DD6"/>
    <w:rsid w:val="00175213"/>
    <w:rsid w:val="00175A01"/>
    <w:rsid w:val="00180468"/>
    <w:rsid w:val="0018071B"/>
    <w:rsid w:val="00182D0D"/>
    <w:rsid w:val="00182E51"/>
    <w:rsid w:val="00182EFA"/>
    <w:rsid w:val="00183A09"/>
    <w:rsid w:val="00183A61"/>
    <w:rsid w:val="0018685E"/>
    <w:rsid w:val="00187CAB"/>
    <w:rsid w:val="00190987"/>
    <w:rsid w:val="00192E65"/>
    <w:rsid w:val="00193080"/>
    <w:rsid w:val="001933FC"/>
    <w:rsid w:val="001943CA"/>
    <w:rsid w:val="001963FC"/>
    <w:rsid w:val="00197C55"/>
    <w:rsid w:val="001A00C4"/>
    <w:rsid w:val="001A0C1D"/>
    <w:rsid w:val="001A157B"/>
    <w:rsid w:val="001A1C20"/>
    <w:rsid w:val="001A3819"/>
    <w:rsid w:val="001A4683"/>
    <w:rsid w:val="001A4F4B"/>
    <w:rsid w:val="001A53B7"/>
    <w:rsid w:val="001A53CA"/>
    <w:rsid w:val="001A7C6E"/>
    <w:rsid w:val="001B00C7"/>
    <w:rsid w:val="001B0BB4"/>
    <w:rsid w:val="001B19BA"/>
    <w:rsid w:val="001B1A25"/>
    <w:rsid w:val="001B30A4"/>
    <w:rsid w:val="001B320A"/>
    <w:rsid w:val="001B3A7F"/>
    <w:rsid w:val="001B4167"/>
    <w:rsid w:val="001B51CF"/>
    <w:rsid w:val="001B579B"/>
    <w:rsid w:val="001B79B4"/>
    <w:rsid w:val="001B7CE7"/>
    <w:rsid w:val="001C0919"/>
    <w:rsid w:val="001C0F0A"/>
    <w:rsid w:val="001C2C46"/>
    <w:rsid w:val="001C442F"/>
    <w:rsid w:val="001C5B40"/>
    <w:rsid w:val="001C5FAB"/>
    <w:rsid w:val="001C6273"/>
    <w:rsid w:val="001C7C5E"/>
    <w:rsid w:val="001D0ED3"/>
    <w:rsid w:val="001D24CF"/>
    <w:rsid w:val="001D3944"/>
    <w:rsid w:val="001D3B8A"/>
    <w:rsid w:val="001D4EAA"/>
    <w:rsid w:val="001D740E"/>
    <w:rsid w:val="001D79DA"/>
    <w:rsid w:val="001E0A44"/>
    <w:rsid w:val="001E1D7D"/>
    <w:rsid w:val="001E2734"/>
    <w:rsid w:val="001E2C63"/>
    <w:rsid w:val="001E3354"/>
    <w:rsid w:val="001E3AB9"/>
    <w:rsid w:val="001E42E4"/>
    <w:rsid w:val="001F1056"/>
    <w:rsid w:val="001F2313"/>
    <w:rsid w:val="001F2D3A"/>
    <w:rsid w:val="001F5635"/>
    <w:rsid w:val="00200EB2"/>
    <w:rsid w:val="00200F00"/>
    <w:rsid w:val="00202FF6"/>
    <w:rsid w:val="00204238"/>
    <w:rsid w:val="00204CFE"/>
    <w:rsid w:val="00206440"/>
    <w:rsid w:val="002076DD"/>
    <w:rsid w:val="00207E34"/>
    <w:rsid w:val="002106B6"/>
    <w:rsid w:val="0021163B"/>
    <w:rsid w:val="0021308B"/>
    <w:rsid w:val="002137A9"/>
    <w:rsid w:val="00214BF4"/>
    <w:rsid w:val="00215CA9"/>
    <w:rsid w:val="00216CA3"/>
    <w:rsid w:val="00216E60"/>
    <w:rsid w:val="002170ED"/>
    <w:rsid w:val="00220061"/>
    <w:rsid w:val="00220345"/>
    <w:rsid w:val="002203B8"/>
    <w:rsid w:val="002208BB"/>
    <w:rsid w:val="00221A5E"/>
    <w:rsid w:val="00221FC1"/>
    <w:rsid w:val="002245D2"/>
    <w:rsid w:val="00225B3C"/>
    <w:rsid w:val="00225BEE"/>
    <w:rsid w:val="00232189"/>
    <w:rsid w:val="0023256A"/>
    <w:rsid w:val="00234AA3"/>
    <w:rsid w:val="00235FAE"/>
    <w:rsid w:val="00242EA5"/>
    <w:rsid w:val="00244AF6"/>
    <w:rsid w:val="00245F2D"/>
    <w:rsid w:val="00246315"/>
    <w:rsid w:val="00250FC9"/>
    <w:rsid w:val="00252402"/>
    <w:rsid w:val="00253DE9"/>
    <w:rsid w:val="00253E28"/>
    <w:rsid w:val="00254A72"/>
    <w:rsid w:val="002568F9"/>
    <w:rsid w:val="002571AF"/>
    <w:rsid w:val="00257E9F"/>
    <w:rsid w:val="00260CB8"/>
    <w:rsid w:val="002618AC"/>
    <w:rsid w:val="00261CDA"/>
    <w:rsid w:val="00266050"/>
    <w:rsid w:val="00267EE6"/>
    <w:rsid w:val="002702CF"/>
    <w:rsid w:val="00270CC2"/>
    <w:rsid w:val="00270FAF"/>
    <w:rsid w:val="00271E45"/>
    <w:rsid w:val="002725E8"/>
    <w:rsid w:val="00273B04"/>
    <w:rsid w:val="00275653"/>
    <w:rsid w:val="00275917"/>
    <w:rsid w:val="00280615"/>
    <w:rsid w:val="0028145A"/>
    <w:rsid w:val="00281F54"/>
    <w:rsid w:val="0028365A"/>
    <w:rsid w:val="00283880"/>
    <w:rsid w:val="002857AC"/>
    <w:rsid w:val="00285CF1"/>
    <w:rsid w:val="0028719F"/>
    <w:rsid w:val="00290375"/>
    <w:rsid w:val="00290D87"/>
    <w:rsid w:val="00291FDC"/>
    <w:rsid w:val="0029200A"/>
    <w:rsid w:val="0029275A"/>
    <w:rsid w:val="00292A90"/>
    <w:rsid w:val="00292EBB"/>
    <w:rsid w:val="00295845"/>
    <w:rsid w:val="00297124"/>
    <w:rsid w:val="002A050A"/>
    <w:rsid w:val="002A1376"/>
    <w:rsid w:val="002A15A3"/>
    <w:rsid w:val="002A609B"/>
    <w:rsid w:val="002A6BEB"/>
    <w:rsid w:val="002A743D"/>
    <w:rsid w:val="002A75A6"/>
    <w:rsid w:val="002B01BB"/>
    <w:rsid w:val="002B0460"/>
    <w:rsid w:val="002B19B1"/>
    <w:rsid w:val="002B2354"/>
    <w:rsid w:val="002B242D"/>
    <w:rsid w:val="002B34D0"/>
    <w:rsid w:val="002B4090"/>
    <w:rsid w:val="002B452A"/>
    <w:rsid w:val="002B4944"/>
    <w:rsid w:val="002B5F5D"/>
    <w:rsid w:val="002B64BB"/>
    <w:rsid w:val="002C0689"/>
    <w:rsid w:val="002C0E69"/>
    <w:rsid w:val="002C191B"/>
    <w:rsid w:val="002C1DE9"/>
    <w:rsid w:val="002C2F6F"/>
    <w:rsid w:val="002C32CF"/>
    <w:rsid w:val="002C3762"/>
    <w:rsid w:val="002C3781"/>
    <w:rsid w:val="002C4ACC"/>
    <w:rsid w:val="002C7377"/>
    <w:rsid w:val="002D0D53"/>
    <w:rsid w:val="002D166E"/>
    <w:rsid w:val="002D1E2F"/>
    <w:rsid w:val="002D283E"/>
    <w:rsid w:val="002D2FF4"/>
    <w:rsid w:val="002D3817"/>
    <w:rsid w:val="002D44F8"/>
    <w:rsid w:val="002D531C"/>
    <w:rsid w:val="002D6B42"/>
    <w:rsid w:val="002D749A"/>
    <w:rsid w:val="002D76C5"/>
    <w:rsid w:val="002E0B91"/>
    <w:rsid w:val="002E2704"/>
    <w:rsid w:val="002E3130"/>
    <w:rsid w:val="002E3BB0"/>
    <w:rsid w:val="002E4B02"/>
    <w:rsid w:val="002E5EA6"/>
    <w:rsid w:val="002E6163"/>
    <w:rsid w:val="002E7EB5"/>
    <w:rsid w:val="002F01E2"/>
    <w:rsid w:val="002F0575"/>
    <w:rsid w:val="002F0C3B"/>
    <w:rsid w:val="002F26BC"/>
    <w:rsid w:val="002F2ABC"/>
    <w:rsid w:val="002F2F61"/>
    <w:rsid w:val="002F60A7"/>
    <w:rsid w:val="002F6A07"/>
    <w:rsid w:val="0030089A"/>
    <w:rsid w:val="00301FAF"/>
    <w:rsid w:val="003045E8"/>
    <w:rsid w:val="00304BF0"/>
    <w:rsid w:val="003058EC"/>
    <w:rsid w:val="00305C45"/>
    <w:rsid w:val="00305DD3"/>
    <w:rsid w:val="00307E8C"/>
    <w:rsid w:val="00307FF8"/>
    <w:rsid w:val="0031044A"/>
    <w:rsid w:val="003108F8"/>
    <w:rsid w:val="00310B49"/>
    <w:rsid w:val="00310C20"/>
    <w:rsid w:val="00311363"/>
    <w:rsid w:val="003120B3"/>
    <w:rsid w:val="00312D3B"/>
    <w:rsid w:val="0031350D"/>
    <w:rsid w:val="00316C97"/>
    <w:rsid w:val="00317AA6"/>
    <w:rsid w:val="00321A2C"/>
    <w:rsid w:val="00321B0E"/>
    <w:rsid w:val="00321C34"/>
    <w:rsid w:val="00322A55"/>
    <w:rsid w:val="00325551"/>
    <w:rsid w:val="00326C53"/>
    <w:rsid w:val="00331556"/>
    <w:rsid w:val="0033176C"/>
    <w:rsid w:val="0033195E"/>
    <w:rsid w:val="00331FFD"/>
    <w:rsid w:val="003332A3"/>
    <w:rsid w:val="0033381C"/>
    <w:rsid w:val="00333BF5"/>
    <w:rsid w:val="003340C1"/>
    <w:rsid w:val="0033617C"/>
    <w:rsid w:val="0033704E"/>
    <w:rsid w:val="003406E7"/>
    <w:rsid w:val="00340A02"/>
    <w:rsid w:val="00342EA8"/>
    <w:rsid w:val="00343683"/>
    <w:rsid w:val="00343B1D"/>
    <w:rsid w:val="003445D5"/>
    <w:rsid w:val="00345B0B"/>
    <w:rsid w:val="00345EFB"/>
    <w:rsid w:val="003466F8"/>
    <w:rsid w:val="00346933"/>
    <w:rsid w:val="003477FF"/>
    <w:rsid w:val="003501D3"/>
    <w:rsid w:val="00350832"/>
    <w:rsid w:val="003519E8"/>
    <w:rsid w:val="00352045"/>
    <w:rsid w:val="003555D5"/>
    <w:rsid w:val="00355FA8"/>
    <w:rsid w:val="00356294"/>
    <w:rsid w:val="00356732"/>
    <w:rsid w:val="00356A26"/>
    <w:rsid w:val="00356A2C"/>
    <w:rsid w:val="00357C84"/>
    <w:rsid w:val="00360957"/>
    <w:rsid w:val="00360C2E"/>
    <w:rsid w:val="00360E18"/>
    <w:rsid w:val="00360E9B"/>
    <w:rsid w:val="00361152"/>
    <w:rsid w:val="00361F5D"/>
    <w:rsid w:val="0036201E"/>
    <w:rsid w:val="0036251C"/>
    <w:rsid w:val="003633D7"/>
    <w:rsid w:val="003661E3"/>
    <w:rsid w:val="0036710E"/>
    <w:rsid w:val="0036717C"/>
    <w:rsid w:val="0037002A"/>
    <w:rsid w:val="00373E7E"/>
    <w:rsid w:val="00375278"/>
    <w:rsid w:val="00375E6B"/>
    <w:rsid w:val="003766FD"/>
    <w:rsid w:val="003769AF"/>
    <w:rsid w:val="0038039A"/>
    <w:rsid w:val="00381312"/>
    <w:rsid w:val="00381584"/>
    <w:rsid w:val="00384098"/>
    <w:rsid w:val="00384462"/>
    <w:rsid w:val="00384486"/>
    <w:rsid w:val="00385CC7"/>
    <w:rsid w:val="003864EA"/>
    <w:rsid w:val="00387138"/>
    <w:rsid w:val="0038792E"/>
    <w:rsid w:val="00387E32"/>
    <w:rsid w:val="003911B9"/>
    <w:rsid w:val="003929B2"/>
    <w:rsid w:val="00394127"/>
    <w:rsid w:val="00396570"/>
    <w:rsid w:val="003973DE"/>
    <w:rsid w:val="003A27A1"/>
    <w:rsid w:val="003A3079"/>
    <w:rsid w:val="003A3096"/>
    <w:rsid w:val="003A45E1"/>
    <w:rsid w:val="003A4967"/>
    <w:rsid w:val="003A4C5B"/>
    <w:rsid w:val="003A5621"/>
    <w:rsid w:val="003A578A"/>
    <w:rsid w:val="003A5A47"/>
    <w:rsid w:val="003B3054"/>
    <w:rsid w:val="003B3131"/>
    <w:rsid w:val="003B388C"/>
    <w:rsid w:val="003B40E3"/>
    <w:rsid w:val="003B44AF"/>
    <w:rsid w:val="003B638C"/>
    <w:rsid w:val="003B703F"/>
    <w:rsid w:val="003B70F6"/>
    <w:rsid w:val="003B730E"/>
    <w:rsid w:val="003C0897"/>
    <w:rsid w:val="003C1DA8"/>
    <w:rsid w:val="003C343D"/>
    <w:rsid w:val="003C3AF4"/>
    <w:rsid w:val="003C452E"/>
    <w:rsid w:val="003C604F"/>
    <w:rsid w:val="003D0772"/>
    <w:rsid w:val="003D1BA6"/>
    <w:rsid w:val="003D3CE8"/>
    <w:rsid w:val="003D4521"/>
    <w:rsid w:val="003E20F9"/>
    <w:rsid w:val="003E236F"/>
    <w:rsid w:val="003E4DAE"/>
    <w:rsid w:val="003E6730"/>
    <w:rsid w:val="003F02F5"/>
    <w:rsid w:val="003F0EF5"/>
    <w:rsid w:val="003F1234"/>
    <w:rsid w:val="003F340B"/>
    <w:rsid w:val="003F3CBD"/>
    <w:rsid w:val="003F468F"/>
    <w:rsid w:val="003F5346"/>
    <w:rsid w:val="003F5936"/>
    <w:rsid w:val="003F6748"/>
    <w:rsid w:val="004002A8"/>
    <w:rsid w:val="00400AA1"/>
    <w:rsid w:val="00400FFD"/>
    <w:rsid w:val="004021F0"/>
    <w:rsid w:val="00402F19"/>
    <w:rsid w:val="004037C7"/>
    <w:rsid w:val="00403C4E"/>
    <w:rsid w:val="00404242"/>
    <w:rsid w:val="0040449C"/>
    <w:rsid w:val="004044F6"/>
    <w:rsid w:val="004049AD"/>
    <w:rsid w:val="004050AB"/>
    <w:rsid w:val="00407C56"/>
    <w:rsid w:val="004107C5"/>
    <w:rsid w:val="00413784"/>
    <w:rsid w:val="0041394E"/>
    <w:rsid w:val="00413F33"/>
    <w:rsid w:val="00414879"/>
    <w:rsid w:val="00416D0A"/>
    <w:rsid w:val="00416DA7"/>
    <w:rsid w:val="0041717E"/>
    <w:rsid w:val="0042001F"/>
    <w:rsid w:val="0042046D"/>
    <w:rsid w:val="00420616"/>
    <w:rsid w:val="00420947"/>
    <w:rsid w:val="00420F57"/>
    <w:rsid w:val="0042104E"/>
    <w:rsid w:val="00421852"/>
    <w:rsid w:val="00422BA8"/>
    <w:rsid w:val="00424264"/>
    <w:rsid w:val="00424938"/>
    <w:rsid w:val="00424941"/>
    <w:rsid w:val="00424DA0"/>
    <w:rsid w:val="0042577A"/>
    <w:rsid w:val="00426120"/>
    <w:rsid w:val="0042623D"/>
    <w:rsid w:val="00426887"/>
    <w:rsid w:val="00426EAB"/>
    <w:rsid w:val="00427406"/>
    <w:rsid w:val="00427825"/>
    <w:rsid w:val="0043034A"/>
    <w:rsid w:val="0043155C"/>
    <w:rsid w:val="0043328B"/>
    <w:rsid w:val="00433A53"/>
    <w:rsid w:val="00435451"/>
    <w:rsid w:val="004407C2"/>
    <w:rsid w:val="0044102A"/>
    <w:rsid w:val="004415A0"/>
    <w:rsid w:val="00441F89"/>
    <w:rsid w:val="004422D4"/>
    <w:rsid w:val="00442796"/>
    <w:rsid w:val="004427F0"/>
    <w:rsid w:val="00444473"/>
    <w:rsid w:val="004444E2"/>
    <w:rsid w:val="004464E8"/>
    <w:rsid w:val="00447416"/>
    <w:rsid w:val="004507DC"/>
    <w:rsid w:val="0045134E"/>
    <w:rsid w:val="00453104"/>
    <w:rsid w:val="00453B20"/>
    <w:rsid w:val="00453E74"/>
    <w:rsid w:val="004549A5"/>
    <w:rsid w:val="004552EF"/>
    <w:rsid w:val="00455E6D"/>
    <w:rsid w:val="00457CEB"/>
    <w:rsid w:val="00457D29"/>
    <w:rsid w:val="00461126"/>
    <w:rsid w:val="00462C60"/>
    <w:rsid w:val="004641CF"/>
    <w:rsid w:val="004649FE"/>
    <w:rsid w:val="00464B84"/>
    <w:rsid w:val="004653ED"/>
    <w:rsid w:val="004653F7"/>
    <w:rsid w:val="00470717"/>
    <w:rsid w:val="00470B6F"/>
    <w:rsid w:val="00472244"/>
    <w:rsid w:val="004722E2"/>
    <w:rsid w:val="004727B6"/>
    <w:rsid w:val="00475C2B"/>
    <w:rsid w:val="004809CD"/>
    <w:rsid w:val="00482BE2"/>
    <w:rsid w:val="00482F4B"/>
    <w:rsid w:val="00483079"/>
    <w:rsid w:val="004833BD"/>
    <w:rsid w:val="00483E34"/>
    <w:rsid w:val="00485DE6"/>
    <w:rsid w:val="0048674D"/>
    <w:rsid w:val="0048726C"/>
    <w:rsid w:val="00487511"/>
    <w:rsid w:val="004877D0"/>
    <w:rsid w:val="004903A3"/>
    <w:rsid w:val="0049081A"/>
    <w:rsid w:val="00490C91"/>
    <w:rsid w:val="004910D1"/>
    <w:rsid w:val="0049110B"/>
    <w:rsid w:val="00492C91"/>
    <w:rsid w:val="00492F51"/>
    <w:rsid w:val="00493218"/>
    <w:rsid w:val="004944CE"/>
    <w:rsid w:val="004951DD"/>
    <w:rsid w:val="00497293"/>
    <w:rsid w:val="00497C2B"/>
    <w:rsid w:val="004A06CE"/>
    <w:rsid w:val="004A074E"/>
    <w:rsid w:val="004A11ED"/>
    <w:rsid w:val="004A12B4"/>
    <w:rsid w:val="004A2814"/>
    <w:rsid w:val="004A3747"/>
    <w:rsid w:val="004A5178"/>
    <w:rsid w:val="004A52E8"/>
    <w:rsid w:val="004A57CD"/>
    <w:rsid w:val="004A66C4"/>
    <w:rsid w:val="004A71E7"/>
    <w:rsid w:val="004A7754"/>
    <w:rsid w:val="004B08B6"/>
    <w:rsid w:val="004B1F93"/>
    <w:rsid w:val="004B4E74"/>
    <w:rsid w:val="004B55C8"/>
    <w:rsid w:val="004B6FB5"/>
    <w:rsid w:val="004C11F8"/>
    <w:rsid w:val="004C13AC"/>
    <w:rsid w:val="004C1412"/>
    <w:rsid w:val="004C155F"/>
    <w:rsid w:val="004C2984"/>
    <w:rsid w:val="004C41EC"/>
    <w:rsid w:val="004C69E0"/>
    <w:rsid w:val="004C6AF1"/>
    <w:rsid w:val="004C7001"/>
    <w:rsid w:val="004C7AD2"/>
    <w:rsid w:val="004D13E7"/>
    <w:rsid w:val="004D2F70"/>
    <w:rsid w:val="004D39A9"/>
    <w:rsid w:val="004D4CE3"/>
    <w:rsid w:val="004D7E1E"/>
    <w:rsid w:val="004E0EC9"/>
    <w:rsid w:val="004E0F8E"/>
    <w:rsid w:val="004E33B8"/>
    <w:rsid w:val="004E380D"/>
    <w:rsid w:val="004E3E92"/>
    <w:rsid w:val="004E3EE4"/>
    <w:rsid w:val="004E4CAB"/>
    <w:rsid w:val="004E5341"/>
    <w:rsid w:val="004E6E85"/>
    <w:rsid w:val="004E767D"/>
    <w:rsid w:val="004E799D"/>
    <w:rsid w:val="004F0213"/>
    <w:rsid w:val="004F1425"/>
    <w:rsid w:val="004F1526"/>
    <w:rsid w:val="004F1D6E"/>
    <w:rsid w:val="004F2D72"/>
    <w:rsid w:val="004F422C"/>
    <w:rsid w:val="004F68E7"/>
    <w:rsid w:val="004F6D7D"/>
    <w:rsid w:val="004F75E3"/>
    <w:rsid w:val="0050232D"/>
    <w:rsid w:val="00502519"/>
    <w:rsid w:val="00502C6C"/>
    <w:rsid w:val="005032E0"/>
    <w:rsid w:val="005036EB"/>
    <w:rsid w:val="00504090"/>
    <w:rsid w:val="00504614"/>
    <w:rsid w:val="00504FC2"/>
    <w:rsid w:val="00505D08"/>
    <w:rsid w:val="005061F2"/>
    <w:rsid w:val="005069CC"/>
    <w:rsid w:val="00507173"/>
    <w:rsid w:val="005125AD"/>
    <w:rsid w:val="00513D54"/>
    <w:rsid w:val="005141B7"/>
    <w:rsid w:val="00514498"/>
    <w:rsid w:val="00516200"/>
    <w:rsid w:val="00516C69"/>
    <w:rsid w:val="00520219"/>
    <w:rsid w:val="00520ABE"/>
    <w:rsid w:val="0052208B"/>
    <w:rsid w:val="00523015"/>
    <w:rsid w:val="005230BB"/>
    <w:rsid w:val="00524C30"/>
    <w:rsid w:val="005276B7"/>
    <w:rsid w:val="00530878"/>
    <w:rsid w:val="005312E2"/>
    <w:rsid w:val="00531545"/>
    <w:rsid w:val="005323C9"/>
    <w:rsid w:val="00532FAF"/>
    <w:rsid w:val="005332CB"/>
    <w:rsid w:val="005335FE"/>
    <w:rsid w:val="00533893"/>
    <w:rsid w:val="00533E7E"/>
    <w:rsid w:val="005353C2"/>
    <w:rsid w:val="0053622E"/>
    <w:rsid w:val="0053630C"/>
    <w:rsid w:val="005375EF"/>
    <w:rsid w:val="00537792"/>
    <w:rsid w:val="0054266A"/>
    <w:rsid w:val="0054487D"/>
    <w:rsid w:val="00545FAE"/>
    <w:rsid w:val="0054624A"/>
    <w:rsid w:val="00546798"/>
    <w:rsid w:val="00547095"/>
    <w:rsid w:val="00547121"/>
    <w:rsid w:val="00547EDB"/>
    <w:rsid w:val="005504C1"/>
    <w:rsid w:val="005524D0"/>
    <w:rsid w:val="005535EA"/>
    <w:rsid w:val="00555EBC"/>
    <w:rsid w:val="005566A2"/>
    <w:rsid w:val="00556E96"/>
    <w:rsid w:val="00557D92"/>
    <w:rsid w:val="005612B2"/>
    <w:rsid w:val="00561D18"/>
    <w:rsid w:val="00561F9D"/>
    <w:rsid w:val="0056203F"/>
    <w:rsid w:val="005635E0"/>
    <w:rsid w:val="00567123"/>
    <w:rsid w:val="005675F8"/>
    <w:rsid w:val="005708DF"/>
    <w:rsid w:val="00572EAF"/>
    <w:rsid w:val="0057578D"/>
    <w:rsid w:val="005759CB"/>
    <w:rsid w:val="005759F8"/>
    <w:rsid w:val="00575B50"/>
    <w:rsid w:val="005766CE"/>
    <w:rsid w:val="00577E2C"/>
    <w:rsid w:val="00580143"/>
    <w:rsid w:val="00580149"/>
    <w:rsid w:val="005804A8"/>
    <w:rsid w:val="00580F8D"/>
    <w:rsid w:val="0058275B"/>
    <w:rsid w:val="0058326F"/>
    <w:rsid w:val="005856CA"/>
    <w:rsid w:val="00590409"/>
    <w:rsid w:val="005908D5"/>
    <w:rsid w:val="00590BDF"/>
    <w:rsid w:val="00591B47"/>
    <w:rsid w:val="005923E0"/>
    <w:rsid w:val="00592AB0"/>
    <w:rsid w:val="005935B7"/>
    <w:rsid w:val="00593C01"/>
    <w:rsid w:val="00595C24"/>
    <w:rsid w:val="005970E6"/>
    <w:rsid w:val="005976E3"/>
    <w:rsid w:val="005A1059"/>
    <w:rsid w:val="005A1C28"/>
    <w:rsid w:val="005A2342"/>
    <w:rsid w:val="005A2750"/>
    <w:rsid w:val="005A2CFA"/>
    <w:rsid w:val="005A4A61"/>
    <w:rsid w:val="005A543A"/>
    <w:rsid w:val="005A594B"/>
    <w:rsid w:val="005A643B"/>
    <w:rsid w:val="005A6A0B"/>
    <w:rsid w:val="005A7E55"/>
    <w:rsid w:val="005B2E6F"/>
    <w:rsid w:val="005B360E"/>
    <w:rsid w:val="005B363A"/>
    <w:rsid w:val="005B49E8"/>
    <w:rsid w:val="005B5ADA"/>
    <w:rsid w:val="005B5D79"/>
    <w:rsid w:val="005B7B8E"/>
    <w:rsid w:val="005C3955"/>
    <w:rsid w:val="005C417B"/>
    <w:rsid w:val="005C743D"/>
    <w:rsid w:val="005D2C06"/>
    <w:rsid w:val="005D339C"/>
    <w:rsid w:val="005D3D02"/>
    <w:rsid w:val="005D46CD"/>
    <w:rsid w:val="005E147D"/>
    <w:rsid w:val="005E1A7A"/>
    <w:rsid w:val="005E21F2"/>
    <w:rsid w:val="005E283B"/>
    <w:rsid w:val="005E2BEB"/>
    <w:rsid w:val="005E330C"/>
    <w:rsid w:val="005E4C68"/>
    <w:rsid w:val="005E5F12"/>
    <w:rsid w:val="005E60A5"/>
    <w:rsid w:val="005E65F1"/>
    <w:rsid w:val="005F0609"/>
    <w:rsid w:val="005F1BCF"/>
    <w:rsid w:val="005F281F"/>
    <w:rsid w:val="005F3695"/>
    <w:rsid w:val="005F3752"/>
    <w:rsid w:val="005F49BD"/>
    <w:rsid w:val="005F518E"/>
    <w:rsid w:val="0060225D"/>
    <w:rsid w:val="006036FE"/>
    <w:rsid w:val="00604DE8"/>
    <w:rsid w:val="006064B7"/>
    <w:rsid w:val="006070A9"/>
    <w:rsid w:val="006075FB"/>
    <w:rsid w:val="0061131D"/>
    <w:rsid w:val="00611BFC"/>
    <w:rsid w:val="00612611"/>
    <w:rsid w:val="00614368"/>
    <w:rsid w:val="00614978"/>
    <w:rsid w:val="00614E87"/>
    <w:rsid w:val="00615214"/>
    <w:rsid w:val="0061594B"/>
    <w:rsid w:val="006160DF"/>
    <w:rsid w:val="0061641A"/>
    <w:rsid w:val="00617CCB"/>
    <w:rsid w:val="00617EBB"/>
    <w:rsid w:val="006234D0"/>
    <w:rsid w:val="00623FFD"/>
    <w:rsid w:val="00624529"/>
    <w:rsid w:val="006245B6"/>
    <w:rsid w:val="00626844"/>
    <w:rsid w:val="00627051"/>
    <w:rsid w:val="006312F7"/>
    <w:rsid w:val="006313E6"/>
    <w:rsid w:val="0063150E"/>
    <w:rsid w:val="00632875"/>
    <w:rsid w:val="00634467"/>
    <w:rsid w:val="00635CAF"/>
    <w:rsid w:val="00636511"/>
    <w:rsid w:val="00637239"/>
    <w:rsid w:val="0063745D"/>
    <w:rsid w:val="006401E2"/>
    <w:rsid w:val="006405D3"/>
    <w:rsid w:val="00642294"/>
    <w:rsid w:val="006422CD"/>
    <w:rsid w:val="0064341D"/>
    <w:rsid w:val="00643447"/>
    <w:rsid w:val="0064387A"/>
    <w:rsid w:val="00643FF2"/>
    <w:rsid w:val="0064564D"/>
    <w:rsid w:val="006458FF"/>
    <w:rsid w:val="006501CE"/>
    <w:rsid w:val="00650693"/>
    <w:rsid w:val="00650D77"/>
    <w:rsid w:val="00652ACC"/>
    <w:rsid w:val="00652D69"/>
    <w:rsid w:val="00653FEB"/>
    <w:rsid w:val="00661BA5"/>
    <w:rsid w:val="00662AD4"/>
    <w:rsid w:val="00662F07"/>
    <w:rsid w:val="00663736"/>
    <w:rsid w:val="00664072"/>
    <w:rsid w:val="00665272"/>
    <w:rsid w:val="00665BBF"/>
    <w:rsid w:val="006707A7"/>
    <w:rsid w:val="006711E2"/>
    <w:rsid w:val="006733D2"/>
    <w:rsid w:val="006760E4"/>
    <w:rsid w:val="00680D74"/>
    <w:rsid w:val="006827EC"/>
    <w:rsid w:val="00682E6B"/>
    <w:rsid w:val="00682F5B"/>
    <w:rsid w:val="00683FEF"/>
    <w:rsid w:val="006843D9"/>
    <w:rsid w:val="0068761D"/>
    <w:rsid w:val="006878B7"/>
    <w:rsid w:val="006907B1"/>
    <w:rsid w:val="00690AB2"/>
    <w:rsid w:val="0069135A"/>
    <w:rsid w:val="006924BE"/>
    <w:rsid w:val="006924D7"/>
    <w:rsid w:val="006938BF"/>
    <w:rsid w:val="00694098"/>
    <w:rsid w:val="00694D14"/>
    <w:rsid w:val="00695D54"/>
    <w:rsid w:val="00696281"/>
    <w:rsid w:val="006A02C9"/>
    <w:rsid w:val="006A03B4"/>
    <w:rsid w:val="006A3F4C"/>
    <w:rsid w:val="006A497F"/>
    <w:rsid w:val="006A5CC8"/>
    <w:rsid w:val="006A6B01"/>
    <w:rsid w:val="006A76F5"/>
    <w:rsid w:val="006B00F7"/>
    <w:rsid w:val="006B02A5"/>
    <w:rsid w:val="006B05A1"/>
    <w:rsid w:val="006B2E3E"/>
    <w:rsid w:val="006B490A"/>
    <w:rsid w:val="006B77EC"/>
    <w:rsid w:val="006B7C08"/>
    <w:rsid w:val="006C2188"/>
    <w:rsid w:val="006C2831"/>
    <w:rsid w:val="006C66F9"/>
    <w:rsid w:val="006C7DD0"/>
    <w:rsid w:val="006D073F"/>
    <w:rsid w:val="006D1E17"/>
    <w:rsid w:val="006D1F0E"/>
    <w:rsid w:val="006D2FE8"/>
    <w:rsid w:val="006D3C11"/>
    <w:rsid w:val="006D3F7E"/>
    <w:rsid w:val="006D5436"/>
    <w:rsid w:val="006D554F"/>
    <w:rsid w:val="006D5DB6"/>
    <w:rsid w:val="006E2C84"/>
    <w:rsid w:val="006E3F7E"/>
    <w:rsid w:val="006E3FC7"/>
    <w:rsid w:val="006E49CA"/>
    <w:rsid w:val="006E5D46"/>
    <w:rsid w:val="006E6879"/>
    <w:rsid w:val="006F01E2"/>
    <w:rsid w:val="006F0641"/>
    <w:rsid w:val="006F0745"/>
    <w:rsid w:val="006F10EF"/>
    <w:rsid w:val="006F25EB"/>
    <w:rsid w:val="006F3916"/>
    <w:rsid w:val="006F776F"/>
    <w:rsid w:val="007009E0"/>
    <w:rsid w:val="00701112"/>
    <w:rsid w:val="00701AD7"/>
    <w:rsid w:val="00702256"/>
    <w:rsid w:val="0070422F"/>
    <w:rsid w:val="007045BE"/>
    <w:rsid w:val="007046BA"/>
    <w:rsid w:val="00705CA2"/>
    <w:rsid w:val="00707D88"/>
    <w:rsid w:val="00713611"/>
    <w:rsid w:val="00713820"/>
    <w:rsid w:val="007174CD"/>
    <w:rsid w:val="007220E5"/>
    <w:rsid w:val="0072325E"/>
    <w:rsid w:val="00723850"/>
    <w:rsid w:val="00731A87"/>
    <w:rsid w:val="00732809"/>
    <w:rsid w:val="007338D7"/>
    <w:rsid w:val="007353CB"/>
    <w:rsid w:val="00735BFD"/>
    <w:rsid w:val="0073645D"/>
    <w:rsid w:val="00736461"/>
    <w:rsid w:val="00740116"/>
    <w:rsid w:val="007401D2"/>
    <w:rsid w:val="00740C31"/>
    <w:rsid w:val="00741320"/>
    <w:rsid w:val="00741C15"/>
    <w:rsid w:val="00742D3D"/>
    <w:rsid w:val="00743258"/>
    <w:rsid w:val="0074326D"/>
    <w:rsid w:val="00743BD7"/>
    <w:rsid w:val="00744BCE"/>
    <w:rsid w:val="00745452"/>
    <w:rsid w:val="00745D74"/>
    <w:rsid w:val="00746392"/>
    <w:rsid w:val="00750426"/>
    <w:rsid w:val="00754B0C"/>
    <w:rsid w:val="0075501F"/>
    <w:rsid w:val="00755342"/>
    <w:rsid w:val="00756745"/>
    <w:rsid w:val="007569BA"/>
    <w:rsid w:val="00756BC2"/>
    <w:rsid w:val="007572A2"/>
    <w:rsid w:val="00757505"/>
    <w:rsid w:val="00760893"/>
    <w:rsid w:val="00760A6D"/>
    <w:rsid w:val="007612E5"/>
    <w:rsid w:val="0076183F"/>
    <w:rsid w:val="00761A1F"/>
    <w:rsid w:val="00762030"/>
    <w:rsid w:val="007644C7"/>
    <w:rsid w:val="00764CC4"/>
    <w:rsid w:val="00765EFD"/>
    <w:rsid w:val="00766428"/>
    <w:rsid w:val="007673DE"/>
    <w:rsid w:val="00767AAA"/>
    <w:rsid w:val="00767CB6"/>
    <w:rsid w:val="0077070B"/>
    <w:rsid w:val="00770733"/>
    <w:rsid w:val="00771655"/>
    <w:rsid w:val="00771AFF"/>
    <w:rsid w:val="00772793"/>
    <w:rsid w:val="007738DB"/>
    <w:rsid w:val="00774ABD"/>
    <w:rsid w:val="00775FA0"/>
    <w:rsid w:val="007760D3"/>
    <w:rsid w:val="00776F11"/>
    <w:rsid w:val="00777264"/>
    <w:rsid w:val="00780329"/>
    <w:rsid w:val="007803FC"/>
    <w:rsid w:val="00780953"/>
    <w:rsid w:val="007812BE"/>
    <w:rsid w:val="0078151E"/>
    <w:rsid w:val="00781D96"/>
    <w:rsid w:val="007823AC"/>
    <w:rsid w:val="00783839"/>
    <w:rsid w:val="00784633"/>
    <w:rsid w:val="00784D79"/>
    <w:rsid w:val="007853B4"/>
    <w:rsid w:val="007869A3"/>
    <w:rsid w:val="007901EE"/>
    <w:rsid w:val="00790D83"/>
    <w:rsid w:val="007926B5"/>
    <w:rsid w:val="00794357"/>
    <w:rsid w:val="007973F2"/>
    <w:rsid w:val="00797779"/>
    <w:rsid w:val="00797EB0"/>
    <w:rsid w:val="007A248C"/>
    <w:rsid w:val="007A2EE7"/>
    <w:rsid w:val="007A32E4"/>
    <w:rsid w:val="007A3FCD"/>
    <w:rsid w:val="007A4458"/>
    <w:rsid w:val="007A5A0C"/>
    <w:rsid w:val="007A5EB0"/>
    <w:rsid w:val="007A6935"/>
    <w:rsid w:val="007A69CD"/>
    <w:rsid w:val="007A6EBA"/>
    <w:rsid w:val="007A77A7"/>
    <w:rsid w:val="007B1ACD"/>
    <w:rsid w:val="007B1AFD"/>
    <w:rsid w:val="007B22E1"/>
    <w:rsid w:val="007B377A"/>
    <w:rsid w:val="007B489C"/>
    <w:rsid w:val="007B6D20"/>
    <w:rsid w:val="007C0B44"/>
    <w:rsid w:val="007C0F9D"/>
    <w:rsid w:val="007C1594"/>
    <w:rsid w:val="007C33D2"/>
    <w:rsid w:val="007C3A80"/>
    <w:rsid w:val="007C3E56"/>
    <w:rsid w:val="007C5453"/>
    <w:rsid w:val="007C57BA"/>
    <w:rsid w:val="007C7C9E"/>
    <w:rsid w:val="007D0BC0"/>
    <w:rsid w:val="007D0C9A"/>
    <w:rsid w:val="007D1801"/>
    <w:rsid w:val="007D2386"/>
    <w:rsid w:val="007D3615"/>
    <w:rsid w:val="007D3D08"/>
    <w:rsid w:val="007D5376"/>
    <w:rsid w:val="007D683C"/>
    <w:rsid w:val="007D6BDE"/>
    <w:rsid w:val="007D7928"/>
    <w:rsid w:val="007D79BF"/>
    <w:rsid w:val="007E0499"/>
    <w:rsid w:val="007E0D63"/>
    <w:rsid w:val="007E3E40"/>
    <w:rsid w:val="007E46AF"/>
    <w:rsid w:val="007E51AD"/>
    <w:rsid w:val="007E5686"/>
    <w:rsid w:val="007E6465"/>
    <w:rsid w:val="007E7589"/>
    <w:rsid w:val="007F0CC9"/>
    <w:rsid w:val="007F2CB9"/>
    <w:rsid w:val="007F6469"/>
    <w:rsid w:val="007F6B48"/>
    <w:rsid w:val="007F7264"/>
    <w:rsid w:val="007F7A3F"/>
    <w:rsid w:val="008008A5"/>
    <w:rsid w:val="00800C64"/>
    <w:rsid w:val="008013CD"/>
    <w:rsid w:val="00801549"/>
    <w:rsid w:val="00801BA1"/>
    <w:rsid w:val="00803207"/>
    <w:rsid w:val="0080353D"/>
    <w:rsid w:val="0080446C"/>
    <w:rsid w:val="00804AA1"/>
    <w:rsid w:val="00804B9D"/>
    <w:rsid w:val="00804EBA"/>
    <w:rsid w:val="00805E7A"/>
    <w:rsid w:val="00806C98"/>
    <w:rsid w:val="0080761D"/>
    <w:rsid w:val="00810522"/>
    <w:rsid w:val="00812597"/>
    <w:rsid w:val="008172D5"/>
    <w:rsid w:val="00817F4B"/>
    <w:rsid w:val="00823491"/>
    <w:rsid w:val="008235C1"/>
    <w:rsid w:val="00826FC2"/>
    <w:rsid w:val="008303D8"/>
    <w:rsid w:val="0083052E"/>
    <w:rsid w:val="008305E1"/>
    <w:rsid w:val="00830A9F"/>
    <w:rsid w:val="0083258B"/>
    <w:rsid w:val="008325EA"/>
    <w:rsid w:val="00834573"/>
    <w:rsid w:val="00836148"/>
    <w:rsid w:val="00836FFE"/>
    <w:rsid w:val="00841F00"/>
    <w:rsid w:val="00843325"/>
    <w:rsid w:val="008449BB"/>
    <w:rsid w:val="00844F93"/>
    <w:rsid w:val="0084518C"/>
    <w:rsid w:val="00845392"/>
    <w:rsid w:val="00846483"/>
    <w:rsid w:val="00846E92"/>
    <w:rsid w:val="00847B09"/>
    <w:rsid w:val="00847C26"/>
    <w:rsid w:val="00850174"/>
    <w:rsid w:val="00850614"/>
    <w:rsid w:val="008524CD"/>
    <w:rsid w:val="0085557F"/>
    <w:rsid w:val="00856AA3"/>
    <w:rsid w:val="008613AF"/>
    <w:rsid w:val="00862204"/>
    <w:rsid w:val="00862341"/>
    <w:rsid w:val="008633B1"/>
    <w:rsid w:val="00863DC9"/>
    <w:rsid w:val="00863E37"/>
    <w:rsid w:val="00864867"/>
    <w:rsid w:val="00865B45"/>
    <w:rsid w:val="00866994"/>
    <w:rsid w:val="00866CCB"/>
    <w:rsid w:val="00867B99"/>
    <w:rsid w:val="00870812"/>
    <w:rsid w:val="00871466"/>
    <w:rsid w:val="00871F64"/>
    <w:rsid w:val="00872A66"/>
    <w:rsid w:val="00872AB2"/>
    <w:rsid w:val="008731F3"/>
    <w:rsid w:val="0087390A"/>
    <w:rsid w:val="00873BF9"/>
    <w:rsid w:val="008759A3"/>
    <w:rsid w:val="00875DA1"/>
    <w:rsid w:val="00877029"/>
    <w:rsid w:val="008776B1"/>
    <w:rsid w:val="00877A59"/>
    <w:rsid w:val="00877FE7"/>
    <w:rsid w:val="00881513"/>
    <w:rsid w:val="008819D9"/>
    <w:rsid w:val="00882B1A"/>
    <w:rsid w:val="00883714"/>
    <w:rsid w:val="00887289"/>
    <w:rsid w:val="008876EE"/>
    <w:rsid w:val="00887E35"/>
    <w:rsid w:val="00887F68"/>
    <w:rsid w:val="00891256"/>
    <w:rsid w:val="00894C5F"/>
    <w:rsid w:val="00894CF0"/>
    <w:rsid w:val="008950A8"/>
    <w:rsid w:val="008955AF"/>
    <w:rsid w:val="008A11B6"/>
    <w:rsid w:val="008A3D5A"/>
    <w:rsid w:val="008A3D84"/>
    <w:rsid w:val="008A4147"/>
    <w:rsid w:val="008A6293"/>
    <w:rsid w:val="008A7C61"/>
    <w:rsid w:val="008B22AF"/>
    <w:rsid w:val="008B38FC"/>
    <w:rsid w:val="008B51F8"/>
    <w:rsid w:val="008B598F"/>
    <w:rsid w:val="008B6438"/>
    <w:rsid w:val="008B7203"/>
    <w:rsid w:val="008B77B7"/>
    <w:rsid w:val="008C1165"/>
    <w:rsid w:val="008C2A59"/>
    <w:rsid w:val="008C2A87"/>
    <w:rsid w:val="008C4CC8"/>
    <w:rsid w:val="008C5F3E"/>
    <w:rsid w:val="008C5FDB"/>
    <w:rsid w:val="008C6243"/>
    <w:rsid w:val="008C6659"/>
    <w:rsid w:val="008C6D09"/>
    <w:rsid w:val="008C713B"/>
    <w:rsid w:val="008D0622"/>
    <w:rsid w:val="008D1191"/>
    <w:rsid w:val="008D3CA3"/>
    <w:rsid w:val="008D4084"/>
    <w:rsid w:val="008E0269"/>
    <w:rsid w:val="008E02C2"/>
    <w:rsid w:val="008E1953"/>
    <w:rsid w:val="008E206E"/>
    <w:rsid w:val="008E27B3"/>
    <w:rsid w:val="008E39C5"/>
    <w:rsid w:val="008E3A1A"/>
    <w:rsid w:val="008E3AD1"/>
    <w:rsid w:val="008E68F5"/>
    <w:rsid w:val="008E6E26"/>
    <w:rsid w:val="008F1229"/>
    <w:rsid w:val="008F12C1"/>
    <w:rsid w:val="008F1633"/>
    <w:rsid w:val="008F33FC"/>
    <w:rsid w:val="008F3B5B"/>
    <w:rsid w:val="008F3CAD"/>
    <w:rsid w:val="008F4FCF"/>
    <w:rsid w:val="008F571D"/>
    <w:rsid w:val="008F57DC"/>
    <w:rsid w:val="008F648C"/>
    <w:rsid w:val="008F7CA5"/>
    <w:rsid w:val="00900368"/>
    <w:rsid w:val="0090176D"/>
    <w:rsid w:val="00902D8F"/>
    <w:rsid w:val="00903E36"/>
    <w:rsid w:val="00904903"/>
    <w:rsid w:val="00904941"/>
    <w:rsid w:val="00905A8A"/>
    <w:rsid w:val="0090677B"/>
    <w:rsid w:val="00906C4F"/>
    <w:rsid w:val="009073A8"/>
    <w:rsid w:val="009105DF"/>
    <w:rsid w:val="00910C5D"/>
    <w:rsid w:val="009124B5"/>
    <w:rsid w:val="009137D2"/>
    <w:rsid w:val="009141BF"/>
    <w:rsid w:val="009143C4"/>
    <w:rsid w:val="00914A47"/>
    <w:rsid w:val="009169E0"/>
    <w:rsid w:val="00917010"/>
    <w:rsid w:val="00917FA5"/>
    <w:rsid w:val="00921075"/>
    <w:rsid w:val="00925A4B"/>
    <w:rsid w:val="0092707F"/>
    <w:rsid w:val="00927C5E"/>
    <w:rsid w:val="00932862"/>
    <w:rsid w:val="009328A4"/>
    <w:rsid w:val="00935051"/>
    <w:rsid w:val="00935D2F"/>
    <w:rsid w:val="00936EDB"/>
    <w:rsid w:val="00936F6F"/>
    <w:rsid w:val="0094087E"/>
    <w:rsid w:val="0094154E"/>
    <w:rsid w:val="0094211E"/>
    <w:rsid w:val="00943F25"/>
    <w:rsid w:val="00945BE9"/>
    <w:rsid w:val="00947EC7"/>
    <w:rsid w:val="009506C3"/>
    <w:rsid w:val="009526DE"/>
    <w:rsid w:val="009528C1"/>
    <w:rsid w:val="0095292D"/>
    <w:rsid w:val="009529D3"/>
    <w:rsid w:val="00952A1D"/>
    <w:rsid w:val="0095339F"/>
    <w:rsid w:val="0095443D"/>
    <w:rsid w:val="00954C88"/>
    <w:rsid w:val="009602BE"/>
    <w:rsid w:val="0096091B"/>
    <w:rsid w:val="009609A8"/>
    <w:rsid w:val="00960B46"/>
    <w:rsid w:val="00960D20"/>
    <w:rsid w:val="00962423"/>
    <w:rsid w:val="009633EF"/>
    <w:rsid w:val="00963B10"/>
    <w:rsid w:val="009649F3"/>
    <w:rsid w:val="00966522"/>
    <w:rsid w:val="00967991"/>
    <w:rsid w:val="009679B9"/>
    <w:rsid w:val="0097019A"/>
    <w:rsid w:val="00970827"/>
    <w:rsid w:val="009711B4"/>
    <w:rsid w:val="00974809"/>
    <w:rsid w:val="00975FEB"/>
    <w:rsid w:val="00976501"/>
    <w:rsid w:val="00977F8C"/>
    <w:rsid w:val="009819BB"/>
    <w:rsid w:val="00982D2C"/>
    <w:rsid w:val="00982E73"/>
    <w:rsid w:val="0098417F"/>
    <w:rsid w:val="00984D5C"/>
    <w:rsid w:val="00984E28"/>
    <w:rsid w:val="009865E4"/>
    <w:rsid w:val="00986947"/>
    <w:rsid w:val="0098695C"/>
    <w:rsid w:val="0098714A"/>
    <w:rsid w:val="009872F6"/>
    <w:rsid w:val="009918F2"/>
    <w:rsid w:val="00992B36"/>
    <w:rsid w:val="00992B39"/>
    <w:rsid w:val="00994527"/>
    <w:rsid w:val="009958AF"/>
    <w:rsid w:val="009958E2"/>
    <w:rsid w:val="00995A3F"/>
    <w:rsid w:val="00996731"/>
    <w:rsid w:val="00996EA7"/>
    <w:rsid w:val="00997A58"/>
    <w:rsid w:val="00997F21"/>
    <w:rsid w:val="009A0105"/>
    <w:rsid w:val="009A1682"/>
    <w:rsid w:val="009A21E6"/>
    <w:rsid w:val="009A27E4"/>
    <w:rsid w:val="009A58D3"/>
    <w:rsid w:val="009A5A40"/>
    <w:rsid w:val="009B19E3"/>
    <w:rsid w:val="009B2656"/>
    <w:rsid w:val="009B7D19"/>
    <w:rsid w:val="009C1415"/>
    <w:rsid w:val="009C4342"/>
    <w:rsid w:val="009C595F"/>
    <w:rsid w:val="009C67B8"/>
    <w:rsid w:val="009C70EA"/>
    <w:rsid w:val="009C7527"/>
    <w:rsid w:val="009C7634"/>
    <w:rsid w:val="009D0C6D"/>
    <w:rsid w:val="009D0F2C"/>
    <w:rsid w:val="009D1623"/>
    <w:rsid w:val="009D1833"/>
    <w:rsid w:val="009D27DB"/>
    <w:rsid w:val="009D2CD9"/>
    <w:rsid w:val="009D4207"/>
    <w:rsid w:val="009D4C48"/>
    <w:rsid w:val="009D78AE"/>
    <w:rsid w:val="009E29BF"/>
    <w:rsid w:val="009E6B27"/>
    <w:rsid w:val="009F146C"/>
    <w:rsid w:val="009F17B3"/>
    <w:rsid w:val="009F1E73"/>
    <w:rsid w:val="009F25B3"/>
    <w:rsid w:val="009F2E8D"/>
    <w:rsid w:val="009F2FB7"/>
    <w:rsid w:val="009F3D74"/>
    <w:rsid w:val="009F5B19"/>
    <w:rsid w:val="009F6C8E"/>
    <w:rsid w:val="00A00F69"/>
    <w:rsid w:val="00A02D5D"/>
    <w:rsid w:val="00A06764"/>
    <w:rsid w:val="00A10754"/>
    <w:rsid w:val="00A121A3"/>
    <w:rsid w:val="00A12D81"/>
    <w:rsid w:val="00A136B8"/>
    <w:rsid w:val="00A13A14"/>
    <w:rsid w:val="00A14D6B"/>
    <w:rsid w:val="00A17E00"/>
    <w:rsid w:val="00A22AAD"/>
    <w:rsid w:val="00A23057"/>
    <w:rsid w:val="00A25CA6"/>
    <w:rsid w:val="00A305B8"/>
    <w:rsid w:val="00A30CD9"/>
    <w:rsid w:val="00A32F01"/>
    <w:rsid w:val="00A34281"/>
    <w:rsid w:val="00A34603"/>
    <w:rsid w:val="00A351BE"/>
    <w:rsid w:val="00A4088F"/>
    <w:rsid w:val="00A41B7B"/>
    <w:rsid w:val="00A42EF8"/>
    <w:rsid w:val="00A4332C"/>
    <w:rsid w:val="00A43CDB"/>
    <w:rsid w:val="00A451A9"/>
    <w:rsid w:val="00A46035"/>
    <w:rsid w:val="00A47937"/>
    <w:rsid w:val="00A5001E"/>
    <w:rsid w:val="00A534A7"/>
    <w:rsid w:val="00A53630"/>
    <w:rsid w:val="00A536C0"/>
    <w:rsid w:val="00A55936"/>
    <w:rsid w:val="00A5650F"/>
    <w:rsid w:val="00A57188"/>
    <w:rsid w:val="00A636F5"/>
    <w:rsid w:val="00A6472D"/>
    <w:rsid w:val="00A65DAD"/>
    <w:rsid w:val="00A67695"/>
    <w:rsid w:val="00A678C4"/>
    <w:rsid w:val="00A67B96"/>
    <w:rsid w:val="00A67E6D"/>
    <w:rsid w:val="00A715AA"/>
    <w:rsid w:val="00A71EEE"/>
    <w:rsid w:val="00A72001"/>
    <w:rsid w:val="00A725D8"/>
    <w:rsid w:val="00A72A19"/>
    <w:rsid w:val="00A7337B"/>
    <w:rsid w:val="00A750ED"/>
    <w:rsid w:val="00A75C35"/>
    <w:rsid w:val="00A76C70"/>
    <w:rsid w:val="00A82796"/>
    <w:rsid w:val="00A829AD"/>
    <w:rsid w:val="00A82F35"/>
    <w:rsid w:val="00A84CB7"/>
    <w:rsid w:val="00A85D3B"/>
    <w:rsid w:val="00A86312"/>
    <w:rsid w:val="00A86942"/>
    <w:rsid w:val="00A875A0"/>
    <w:rsid w:val="00A9239E"/>
    <w:rsid w:val="00A9269D"/>
    <w:rsid w:val="00A92E6F"/>
    <w:rsid w:val="00A935AB"/>
    <w:rsid w:val="00A95CC2"/>
    <w:rsid w:val="00A9682C"/>
    <w:rsid w:val="00A9786E"/>
    <w:rsid w:val="00A97D98"/>
    <w:rsid w:val="00AA01B4"/>
    <w:rsid w:val="00AA30A5"/>
    <w:rsid w:val="00AA520B"/>
    <w:rsid w:val="00AA58F4"/>
    <w:rsid w:val="00AB1362"/>
    <w:rsid w:val="00AB1920"/>
    <w:rsid w:val="00AB1B63"/>
    <w:rsid w:val="00AB267F"/>
    <w:rsid w:val="00AB3477"/>
    <w:rsid w:val="00AB46EA"/>
    <w:rsid w:val="00AB5A32"/>
    <w:rsid w:val="00AB5B66"/>
    <w:rsid w:val="00AB5FEC"/>
    <w:rsid w:val="00AB7923"/>
    <w:rsid w:val="00AC2FEE"/>
    <w:rsid w:val="00AC38D5"/>
    <w:rsid w:val="00AC5767"/>
    <w:rsid w:val="00AC6E34"/>
    <w:rsid w:val="00AC7587"/>
    <w:rsid w:val="00AD0D4E"/>
    <w:rsid w:val="00AD221D"/>
    <w:rsid w:val="00AD284C"/>
    <w:rsid w:val="00AD43D7"/>
    <w:rsid w:val="00AD4908"/>
    <w:rsid w:val="00AD4DD8"/>
    <w:rsid w:val="00AD6447"/>
    <w:rsid w:val="00AD6672"/>
    <w:rsid w:val="00AE419B"/>
    <w:rsid w:val="00AE42F0"/>
    <w:rsid w:val="00AE5B04"/>
    <w:rsid w:val="00AE5F55"/>
    <w:rsid w:val="00AE6A81"/>
    <w:rsid w:val="00AF04AB"/>
    <w:rsid w:val="00AF096E"/>
    <w:rsid w:val="00AF125D"/>
    <w:rsid w:val="00AF1AA5"/>
    <w:rsid w:val="00AF1AE1"/>
    <w:rsid w:val="00AF20DC"/>
    <w:rsid w:val="00AF36E8"/>
    <w:rsid w:val="00AF389C"/>
    <w:rsid w:val="00AF4E83"/>
    <w:rsid w:val="00AF5138"/>
    <w:rsid w:val="00AF52C3"/>
    <w:rsid w:val="00AF75DF"/>
    <w:rsid w:val="00B004C4"/>
    <w:rsid w:val="00B01BE3"/>
    <w:rsid w:val="00B04475"/>
    <w:rsid w:val="00B0619F"/>
    <w:rsid w:val="00B06709"/>
    <w:rsid w:val="00B0741D"/>
    <w:rsid w:val="00B07B6B"/>
    <w:rsid w:val="00B106F8"/>
    <w:rsid w:val="00B1099D"/>
    <w:rsid w:val="00B121A2"/>
    <w:rsid w:val="00B12FAA"/>
    <w:rsid w:val="00B1312B"/>
    <w:rsid w:val="00B15251"/>
    <w:rsid w:val="00B2041E"/>
    <w:rsid w:val="00B20F36"/>
    <w:rsid w:val="00B21EAA"/>
    <w:rsid w:val="00B23291"/>
    <w:rsid w:val="00B235A4"/>
    <w:rsid w:val="00B24AAE"/>
    <w:rsid w:val="00B25199"/>
    <w:rsid w:val="00B26149"/>
    <w:rsid w:val="00B31DA2"/>
    <w:rsid w:val="00B326F5"/>
    <w:rsid w:val="00B333B5"/>
    <w:rsid w:val="00B34634"/>
    <w:rsid w:val="00B34BC8"/>
    <w:rsid w:val="00B35943"/>
    <w:rsid w:val="00B363FB"/>
    <w:rsid w:val="00B37673"/>
    <w:rsid w:val="00B3791F"/>
    <w:rsid w:val="00B37C51"/>
    <w:rsid w:val="00B40C6B"/>
    <w:rsid w:val="00B4244A"/>
    <w:rsid w:val="00B44018"/>
    <w:rsid w:val="00B445BA"/>
    <w:rsid w:val="00B45B49"/>
    <w:rsid w:val="00B47AF7"/>
    <w:rsid w:val="00B50C06"/>
    <w:rsid w:val="00B51CFA"/>
    <w:rsid w:val="00B52865"/>
    <w:rsid w:val="00B52CE1"/>
    <w:rsid w:val="00B52E60"/>
    <w:rsid w:val="00B539DD"/>
    <w:rsid w:val="00B542F1"/>
    <w:rsid w:val="00B550DA"/>
    <w:rsid w:val="00B55A86"/>
    <w:rsid w:val="00B569F5"/>
    <w:rsid w:val="00B57A85"/>
    <w:rsid w:val="00B6042F"/>
    <w:rsid w:val="00B6124A"/>
    <w:rsid w:val="00B62F93"/>
    <w:rsid w:val="00B6519C"/>
    <w:rsid w:val="00B6548B"/>
    <w:rsid w:val="00B6610C"/>
    <w:rsid w:val="00B66B04"/>
    <w:rsid w:val="00B701AB"/>
    <w:rsid w:val="00B70CAE"/>
    <w:rsid w:val="00B71871"/>
    <w:rsid w:val="00B72ECE"/>
    <w:rsid w:val="00B731E6"/>
    <w:rsid w:val="00B7380E"/>
    <w:rsid w:val="00B73CDC"/>
    <w:rsid w:val="00B7410C"/>
    <w:rsid w:val="00B775ED"/>
    <w:rsid w:val="00B8074D"/>
    <w:rsid w:val="00B8121D"/>
    <w:rsid w:val="00B81D6D"/>
    <w:rsid w:val="00B8311F"/>
    <w:rsid w:val="00B84675"/>
    <w:rsid w:val="00B85407"/>
    <w:rsid w:val="00B8648D"/>
    <w:rsid w:val="00B86B6B"/>
    <w:rsid w:val="00B90DE8"/>
    <w:rsid w:val="00B90ECB"/>
    <w:rsid w:val="00B910B0"/>
    <w:rsid w:val="00B93596"/>
    <w:rsid w:val="00B93BB2"/>
    <w:rsid w:val="00B950CA"/>
    <w:rsid w:val="00B97CFF"/>
    <w:rsid w:val="00BA1072"/>
    <w:rsid w:val="00BA34AB"/>
    <w:rsid w:val="00BA3590"/>
    <w:rsid w:val="00BA3B4B"/>
    <w:rsid w:val="00BA4AB6"/>
    <w:rsid w:val="00BA581C"/>
    <w:rsid w:val="00BA7E75"/>
    <w:rsid w:val="00BB069C"/>
    <w:rsid w:val="00BB081B"/>
    <w:rsid w:val="00BB1A5E"/>
    <w:rsid w:val="00BB26D5"/>
    <w:rsid w:val="00BB3655"/>
    <w:rsid w:val="00BB449B"/>
    <w:rsid w:val="00BB5468"/>
    <w:rsid w:val="00BB69DD"/>
    <w:rsid w:val="00BB6C18"/>
    <w:rsid w:val="00BB6C6B"/>
    <w:rsid w:val="00BC048A"/>
    <w:rsid w:val="00BC1189"/>
    <w:rsid w:val="00BC463C"/>
    <w:rsid w:val="00BC6023"/>
    <w:rsid w:val="00BC63E4"/>
    <w:rsid w:val="00BC74C9"/>
    <w:rsid w:val="00BD2168"/>
    <w:rsid w:val="00BD467B"/>
    <w:rsid w:val="00BD4BCA"/>
    <w:rsid w:val="00BD4CA2"/>
    <w:rsid w:val="00BD5B47"/>
    <w:rsid w:val="00BD67B1"/>
    <w:rsid w:val="00BD6A14"/>
    <w:rsid w:val="00BD6D10"/>
    <w:rsid w:val="00BD703D"/>
    <w:rsid w:val="00BE1856"/>
    <w:rsid w:val="00BE2107"/>
    <w:rsid w:val="00BE2F23"/>
    <w:rsid w:val="00BE304B"/>
    <w:rsid w:val="00BE3ECA"/>
    <w:rsid w:val="00BE45A6"/>
    <w:rsid w:val="00BE5D6D"/>
    <w:rsid w:val="00BE5EB9"/>
    <w:rsid w:val="00BE74CB"/>
    <w:rsid w:val="00BF0A9D"/>
    <w:rsid w:val="00BF3EC9"/>
    <w:rsid w:val="00BF4400"/>
    <w:rsid w:val="00BF4747"/>
    <w:rsid w:val="00BF6B16"/>
    <w:rsid w:val="00BF770D"/>
    <w:rsid w:val="00BF7B0C"/>
    <w:rsid w:val="00C007C8"/>
    <w:rsid w:val="00C02B4C"/>
    <w:rsid w:val="00C0374D"/>
    <w:rsid w:val="00C05891"/>
    <w:rsid w:val="00C06349"/>
    <w:rsid w:val="00C06D24"/>
    <w:rsid w:val="00C0790A"/>
    <w:rsid w:val="00C11CF8"/>
    <w:rsid w:val="00C11D22"/>
    <w:rsid w:val="00C11DFD"/>
    <w:rsid w:val="00C1233E"/>
    <w:rsid w:val="00C1525B"/>
    <w:rsid w:val="00C15A4F"/>
    <w:rsid w:val="00C214C4"/>
    <w:rsid w:val="00C2356F"/>
    <w:rsid w:val="00C2357B"/>
    <w:rsid w:val="00C24E75"/>
    <w:rsid w:val="00C26752"/>
    <w:rsid w:val="00C27839"/>
    <w:rsid w:val="00C30242"/>
    <w:rsid w:val="00C31A22"/>
    <w:rsid w:val="00C31EB5"/>
    <w:rsid w:val="00C33349"/>
    <w:rsid w:val="00C3341F"/>
    <w:rsid w:val="00C3404F"/>
    <w:rsid w:val="00C35976"/>
    <w:rsid w:val="00C36607"/>
    <w:rsid w:val="00C4422E"/>
    <w:rsid w:val="00C442DB"/>
    <w:rsid w:val="00C44962"/>
    <w:rsid w:val="00C46F01"/>
    <w:rsid w:val="00C52B85"/>
    <w:rsid w:val="00C5332A"/>
    <w:rsid w:val="00C536BA"/>
    <w:rsid w:val="00C54140"/>
    <w:rsid w:val="00C5433B"/>
    <w:rsid w:val="00C5505A"/>
    <w:rsid w:val="00C55F80"/>
    <w:rsid w:val="00C57EAD"/>
    <w:rsid w:val="00C57FE3"/>
    <w:rsid w:val="00C60219"/>
    <w:rsid w:val="00C606E7"/>
    <w:rsid w:val="00C62132"/>
    <w:rsid w:val="00C621F2"/>
    <w:rsid w:val="00C64415"/>
    <w:rsid w:val="00C65C4B"/>
    <w:rsid w:val="00C65E48"/>
    <w:rsid w:val="00C67409"/>
    <w:rsid w:val="00C71063"/>
    <w:rsid w:val="00C71B7B"/>
    <w:rsid w:val="00C73A3C"/>
    <w:rsid w:val="00C77AA7"/>
    <w:rsid w:val="00C8017E"/>
    <w:rsid w:val="00C8018D"/>
    <w:rsid w:val="00C8156A"/>
    <w:rsid w:val="00C83835"/>
    <w:rsid w:val="00C83AFB"/>
    <w:rsid w:val="00C85658"/>
    <w:rsid w:val="00C85831"/>
    <w:rsid w:val="00C86108"/>
    <w:rsid w:val="00C869A5"/>
    <w:rsid w:val="00C87D9D"/>
    <w:rsid w:val="00C901EF"/>
    <w:rsid w:val="00C911BE"/>
    <w:rsid w:val="00C91BFB"/>
    <w:rsid w:val="00C91F6D"/>
    <w:rsid w:val="00C92330"/>
    <w:rsid w:val="00C92662"/>
    <w:rsid w:val="00C9526D"/>
    <w:rsid w:val="00C952B7"/>
    <w:rsid w:val="00C95F10"/>
    <w:rsid w:val="00C962AC"/>
    <w:rsid w:val="00C97B7A"/>
    <w:rsid w:val="00CA044D"/>
    <w:rsid w:val="00CA1018"/>
    <w:rsid w:val="00CA49DC"/>
    <w:rsid w:val="00CA4AED"/>
    <w:rsid w:val="00CA4BA4"/>
    <w:rsid w:val="00CA614E"/>
    <w:rsid w:val="00CA6581"/>
    <w:rsid w:val="00CA7E08"/>
    <w:rsid w:val="00CB13B3"/>
    <w:rsid w:val="00CB21BC"/>
    <w:rsid w:val="00CB6472"/>
    <w:rsid w:val="00CB785A"/>
    <w:rsid w:val="00CB7E7E"/>
    <w:rsid w:val="00CC0ED4"/>
    <w:rsid w:val="00CC137C"/>
    <w:rsid w:val="00CC17A1"/>
    <w:rsid w:val="00CC2112"/>
    <w:rsid w:val="00CC2C22"/>
    <w:rsid w:val="00CC5E7D"/>
    <w:rsid w:val="00CC6FF2"/>
    <w:rsid w:val="00CC7FEA"/>
    <w:rsid w:val="00CD0717"/>
    <w:rsid w:val="00CD0CA7"/>
    <w:rsid w:val="00CD0E00"/>
    <w:rsid w:val="00CD1F67"/>
    <w:rsid w:val="00CD22A5"/>
    <w:rsid w:val="00CD2E05"/>
    <w:rsid w:val="00CD3428"/>
    <w:rsid w:val="00CD5A4C"/>
    <w:rsid w:val="00CD76CF"/>
    <w:rsid w:val="00CE0FD8"/>
    <w:rsid w:val="00CE2268"/>
    <w:rsid w:val="00CE42B0"/>
    <w:rsid w:val="00CE70F7"/>
    <w:rsid w:val="00CE7BDE"/>
    <w:rsid w:val="00CE7D32"/>
    <w:rsid w:val="00CF065B"/>
    <w:rsid w:val="00CF501C"/>
    <w:rsid w:val="00D01BE2"/>
    <w:rsid w:val="00D02CEA"/>
    <w:rsid w:val="00D037D1"/>
    <w:rsid w:val="00D04483"/>
    <w:rsid w:val="00D045FD"/>
    <w:rsid w:val="00D06668"/>
    <w:rsid w:val="00D07144"/>
    <w:rsid w:val="00D10185"/>
    <w:rsid w:val="00D1055D"/>
    <w:rsid w:val="00D105D6"/>
    <w:rsid w:val="00D12225"/>
    <w:rsid w:val="00D123B7"/>
    <w:rsid w:val="00D14E50"/>
    <w:rsid w:val="00D155DE"/>
    <w:rsid w:val="00D159C4"/>
    <w:rsid w:val="00D16331"/>
    <w:rsid w:val="00D17695"/>
    <w:rsid w:val="00D17769"/>
    <w:rsid w:val="00D20D15"/>
    <w:rsid w:val="00D232CD"/>
    <w:rsid w:val="00D23A44"/>
    <w:rsid w:val="00D24982"/>
    <w:rsid w:val="00D260D3"/>
    <w:rsid w:val="00D26974"/>
    <w:rsid w:val="00D31C79"/>
    <w:rsid w:val="00D33C9E"/>
    <w:rsid w:val="00D3574A"/>
    <w:rsid w:val="00D3589B"/>
    <w:rsid w:val="00D36894"/>
    <w:rsid w:val="00D36ED0"/>
    <w:rsid w:val="00D371A0"/>
    <w:rsid w:val="00D377F1"/>
    <w:rsid w:val="00D37FD4"/>
    <w:rsid w:val="00D426BA"/>
    <w:rsid w:val="00D43D45"/>
    <w:rsid w:val="00D44F0A"/>
    <w:rsid w:val="00D45964"/>
    <w:rsid w:val="00D45970"/>
    <w:rsid w:val="00D45F82"/>
    <w:rsid w:val="00D50202"/>
    <w:rsid w:val="00D50A37"/>
    <w:rsid w:val="00D532C4"/>
    <w:rsid w:val="00D546FD"/>
    <w:rsid w:val="00D54F04"/>
    <w:rsid w:val="00D55213"/>
    <w:rsid w:val="00D60707"/>
    <w:rsid w:val="00D6083D"/>
    <w:rsid w:val="00D662A4"/>
    <w:rsid w:val="00D6719F"/>
    <w:rsid w:val="00D6773E"/>
    <w:rsid w:val="00D67C50"/>
    <w:rsid w:val="00D67E74"/>
    <w:rsid w:val="00D67FBA"/>
    <w:rsid w:val="00D70FAF"/>
    <w:rsid w:val="00D70FB8"/>
    <w:rsid w:val="00D720A7"/>
    <w:rsid w:val="00D73339"/>
    <w:rsid w:val="00D754CC"/>
    <w:rsid w:val="00D757EA"/>
    <w:rsid w:val="00D75839"/>
    <w:rsid w:val="00D75B79"/>
    <w:rsid w:val="00D76A77"/>
    <w:rsid w:val="00D8123E"/>
    <w:rsid w:val="00D81E06"/>
    <w:rsid w:val="00D825C9"/>
    <w:rsid w:val="00D8369B"/>
    <w:rsid w:val="00D860C3"/>
    <w:rsid w:val="00D86653"/>
    <w:rsid w:val="00D90B67"/>
    <w:rsid w:val="00D9134F"/>
    <w:rsid w:val="00D935DE"/>
    <w:rsid w:val="00D94098"/>
    <w:rsid w:val="00D9444F"/>
    <w:rsid w:val="00D953C1"/>
    <w:rsid w:val="00D956F4"/>
    <w:rsid w:val="00D95B37"/>
    <w:rsid w:val="00D95B8D"/>
    <w:rsid w:val="00D97AFF"/>
    <w:rsid w:val="00D97C35"/>
    <w:rsid w:val="00D97D49"/>
    <w:rsid w:val="00D97F80"/>
    <w:rsid w:val="00DA16F4"/>
    <w:rsid w:val="00DA2164"/>
    <w:rsid w:val="00DA216D"/>
    <w:rsid w:val="00DA26A7"/>
    <w:rsid w:val="00DA38EB"/>
    <w:rsid w:val="00DA4A99"/>
    <w:rsid w:val="00DA6FA6"/>
    <w:rsid w:val="00DB0238"/>
    <w:rsid w:val="00DB1D6C"/>
    <w:rsid w:val="00DB437E"/>
    <w:rsid w:val="00DB4EA5"/>
    <w:rsid w:val="00DB5D2E"/>
    <w:rsid w:val="00DB6508"/>
    <w:rsid w:val="00DB6C01"/>
    <w:rsid w:val="00DC19D1"/>
    <w:rsid w:val="00DC21BC"/>
    <w:rsid w:val="00DC2B42"/>
    <w:rsid w:val="00DC3DBF"/>
    <w:rsid w:val="00DC48C0"/>
    <w:rsid w:val="00DC5294"/>
    <w:rsid w:val="00DD1F4E"/>
    <w:rsid w:val="00DD26C6"/>
    <w:rsid w:val="00DD2C33"/>
    <w:rsid w:val="00DD5A39"/>
    <w:rsid w:val="00DD5D7B"/>
    <w:rsid w:val="00DD6241"/>
    <w:rsid w:val="00DD6B96"/>
    <w:rsid w:val="00DD6C53"/>
    <w:rsid w:val="00DD7603"/>
    <w:rsid w:val="00DE06AB"/>
    <w:rsid w:val="00DE0A88"/>
    <w:rsid w:val="00DE1824"/>
    <w:rsid w:val="00DE39E2"/>
    <w:rsid w:val="00DE53CE"/>
    <w:rsid w:val="00DE5E3C"/>
    <w:rsid w:val="00DF0F18"/>
    <w:rsid w:val="00DF1004"/>
    <w:rsid w:val="00DF13A7"/>
    <w:rsid w:val="00DF42F5"/>
    <w:rsid w:val="00DF56C2"/>
    <w:rsid w:val="00DF68CA"/>
    <w:rsid w:val="00E00D91"/>
    <w:rsid w:val="00E015E8"/>
    <w:rsid w:val="00E01642"/>
    <w:rsid w:val="00E01A23"/>
    <w:rsid w:val="00E03D5C"/>
    <w:rsid w:val="00E051AF"/>
    <w:rsid w:val="00E056CF"/>
    <w:rsid w:val="00E05D68"/>
    <w:rsid w:val="00E0739B"/>
    <w:rsid w:val="00E077EF"/>
    <w:rsid w:val="00E07E65"/>
    <w:rsid w:val="00E11586"/>
    <w:rsid w:val="00E11F81"/>
    <w:rsid w:val="00E124CC"/>
    <w:rsid w:val="00E12EB8"/>
    <w:rsid w:val="00E1344C"/>
    <w:rsid w:val="00E135EC"/>
    <w:rsid w:val="00E1677D"/>
    <w:rsid w:val="00E173BB"/>
    <w:rsid w:val="00E17487"/>
    <w:rsid w:val="00E176FD"/>
    <w:rsid w:val="00E1782D"/>
    <w:rsid w:val="00E22F1C"/>
    <w:rsid w:val="00E23287"/>
    <w:rsid w:val="00E2455A"/>
    <w:rsid w:val="00E25EB1"/>
    <w:rsid w:val="00E30B82"/>
    <w:rsid w:val="00E32F14"/>
    <w:rsid w:val="00E332D1"/>
    <w:rsid w:val="00E34651"/>
    <w:rsid w:val="00E35EC5"/>
    <w:rsid w:val="00E36FED"/>
    <w:rsid w:val="00E37216"/>
    <w:rsid w:val="00E377F0"/>
    <w:rsid w:val="00E4009B"/>
    <w:rsid w:val="00E4165A"/>
    <w:rsid w:val="00E43C68"/>
    <w:rsid w:val="00E467BB"/>
    <w:rsid w:val="00E46F36"/>
    <w:rsid w:val="00E50AC4"/>
    <w:rsid w:val="00E52E45"/>
    <w:rsid w:val="00E53039"/>
    <w:rsid w:val="00E54AED"/>
    <w:rsid w:val="00E572A4"/>
    <w:rsid w:val="00E57D76"/>
    <w:rsid w:val="00E57F83"/>
    <w:rsid w:val="00E60AA6"/>
    <w:rsid w:val="00E6183D"/>
    <w:rsid w:val="00E61E1E"/>
    <w:rsid w:val="00E65C88"/>
    <w:rsid w:val="00E67B82"/>
    <w:rsid w:val="00E725DD"/>
    <w:rsid w:val="00E72B3C"/>
    <w:rsid w:val="00E74C2E"/>
    <w:rsid w:val="00E750C7"/>
    <w:rsid w:val="00E75103"/>
    <w:rsid w:val="00E759F9"/>
    <w:rsid w:val="00E76492"/>
    <w:rsid w:val="00E80557"/>
    <w:rsid w:val="00E8088C"/>
    <w:rsid w:val="00E81159"/>
    <w:rsid w:val="00E81CA9"/>
    <w:rsid w:val="00E81D14"/>
    <w:rsid w:val="00E829F5"/>
    <w:rsid w:val="00E82EFD"/>
    <w:rsid w:val="00E87346"/>
    <w:rsid w:val="00E90328"/>
    <w:rsid w:val="00E90CE2"/>
    <w:rsid w:val="00E90E9C"/>
    <w:rsid w:val="00E91B7F"/>
    <w:rsid w:val="00E96442"/>
    <w:rsid w:val="00E97902"/>
    <w:rsid w:val="00E979E2"/>
    <w:rsid w:val="00EA4165"/>
    <w:rsid w:val="00EA450B"/>
    <w:rsid w:val="00EA4E46"/>
    <w:rsid w:val="00EB0ACC"/>
    <w:rsid w:val="00EB0B5A"/>
    <w:rsid w:val="00EB2380"/>
    <w:rsid w:val="00EB24B8"/>
    <w:rsid w:val="00EB3150"/>
    <w:rsid w:val="00EB668F"/>
    <w:rsid w:val="00EC0E01"/>
    <w:rsid w:val="00EC179B"/>
    <w:rsid w:val="00EC2E5C"/>
    <w:rsid w:val="00EC3AE7"/>
    <w:rsid w:val="00EC46BF"/>
    <w:rsid w:val="00EC505B"/>
    <w:rsid w:val="00EC5801"/>
    <w:rsid w:val="00EC5D0E"/>
    <w:rsid w:val="00EC6728"/>
    <w:rsid w:val="00EC782D"/>
    <w:rsid w:val="00ED0A32"/>
    <w:rsid w:val="00ED0E92"/>
    <w:rsid w:val="00ED1B6F"/>
    <w:rsid w:val="00ED217B"/>
    <w:rsid w:val="00ED27CA"/>
    <w:rsid w:val="00ED72D5"/>
    <w:rsid w:val="00ED770A"/>
    <w:rsid w:val="00ED79F2"/>
    <w:rsid w:val="00ED7E75"/>
    <w:rsid w:val="00EE3217"/>
    <w:rsid w:val="00EE3241"/>
    <w:rsid w:val="00EE4231"/>
    <w:rsid w:val="00EE60B7"/>
    <w:rsid w:val="00EE6401"/>
    <w:rsid w:val="00EE693B"/>
    <w:rsid w:val="00EE6D7E"/>
    <w:rsid w:val="00EE7F5F"/>
    <w:rsid w:val="00EF186D"/>
    <w:rsid w:val="00EF1B69"/>
    <w:rsid w:val="00EF25F6"/>
    <w:rsid w:val="00EF500A"/>
    <w:rsid w:val="00F00839"/>
    <w:rsid w:val="00F01090"/>
    <w:rsid w:val="00F01461"/>
    <w:rsid w:val="00F01A3C"/>
    <w:rsid w:val="00F01C50"/>
    <w:rsid w:val="00F02174"/>
    <w:rsid w:val="00F0322F"/>
    <w:rsid w:val="00F046AB"/>
    <w:rsid w:val="00F05AD4"/>
    <w:rsid w:val="00F07B95"/>
    <w:rsid w:val="00F112A9"/>
    <w:rsid w:val="00F11BF5"/>
    <w:rsid w:val="00F13025"/>
    <w:rsid w:val="00F13671"/>
    <w:rsid w:val="00F1380E"/>
    <w:rsid w:val="00F16377"/>
    <w:rsid w:val="00F205FD"/>
    <w:rsid w:val="00F20E48"/>
    <w:rsid w:val="00F22125"/>
    <w:rsid w:val="00F223AE"/>
    <w:rsid w:val="00F22B04"/>
    <w:rsid w:val="00F231F3"/>
    <w:rsid w:val="00F234B4"/>
    <w:rsid w:val="00F23DDB"/>
    <w:rsid w:val="00F24ABD"/>
    <w:rsid w:val="00F274C1"/>
    <w:rsid w:val="00F30305"/>
    <w:rsid w:val="00F3040B"/>
    <w:rsid w:val="00F3072F"/>
    <w:rsid w:val="00F312CD"/>
    <w:rsid w:val="00F32553"/>
    <w:rsid w:val="00F33192"/>
    <w:rsid w:val="00F33FD7"/>
    <w:rsid w:val="00F34A33"/>
    <w:rsid w:val="00F34B39"/>
    <w:rsid w:val="00F34CD5"/>
    <w:rsid w:val="00F351EF"/>
    <w:rsid w:val="00F40631"/>
    <w:rsid w:val="00F40923"/>
    <w:rsid w:val="00F4143D"/>
    <w:rsid w:val="00F41B9F"/>
    <w:rsid w:val="00F42463"/>
    <w:rsid w:val="00F42D01"/>
    <w:rsid w:val="00F43AA6"/>
    <w:rsid w:val="00F46CB8"/>
    <w:rsid w:val="00F46E48"/>
    <w:rsid w:val="00F5013E"/>
    <w:rsid w:val="00F52ABE"/>
    <w:rsid w:val="00F52ED2"/>
    <w:rsid w:val="00F571F0"/>
    <w:rsid w:val="00F57B52"/>
    <w:rsid w:val="00F60A9F"/>
    <w:rsid w:val="00F62D3E"/>
    <w:rsid w:val="00F6393A"/>
    <w:rsid w:val="00F65B80"/>
    <w:rsid w:val="00F65C6A"/>
    <w:rsid w:val="00F66A53"/>
    <w:rsid w:val="00F672E0"/>
    <w:rsid w:val="00F7041D"/>
    <w:rsid w:val="00F7080D"/>
    <w:rsid w:val="00F70FB2"/>
    <w:rsid w:val="00F710CB"/>
    <w:rsid w:val="00F72183"/>
    <w:rsid w:val="00F758DF"/>
    <w:rsid w:val="00F778DB"/>
    <w:rsid w:val="00F77F10"/>
    <w:rsid w:val="00F80D75"/>
    <w:rsid w:val="00F80F05"/>
    <w:rsid w:val="00F8153B"/>
    <w:rsid w:val="00F81A8F"/>
    <w:rsid w:val="00F825BB"/>
    <w:rsid w:val="00F82A39"/>
    <w:rsid w:val="00F83CAD"/>
    <w:rsid w:val="00F85FC7"/>
    <w:rsid w:val="00F8734F"/>
    <w:rsid w:val="00F91322"/>
    <w:rsid w:val="00F91F86"/>
    <w:rsid w:val="00F92397"/>
    <w:rsid w:val="00F93592"/>
    <w:rsid w:val="00F935F0"/>
    <w:rsid w:val="00F93FBD"/>
    <w:rsid w:val="00F94098"/>
    <w:rsid w:val="00F95291"/>
    <w:rsid w:val="00F95302"/>
    <w:rsid w:val="00F95E33"/>
    <w:rsid w:val="00F96105"/>
    <w:rsid w:val="00F96A86"/>
    <w:rsid w:val="00F97040"/>
    <w:rsid w:val="00F9737E"/>
    <w:rsid w:val="00F974A8"/>
    <w:rsid w:val="00FA2F9C"/>
    <w:rsid w:val="00FA434F"/>
    <w:rsid w:val="00FA4503"/>
    <w:rsid w:val="00FA63BD"/>
    <w:rsid w:val="00FB0867"/>
    <w:rsid w:val="00FB1822"/>
    <w:rsid w:val="00FB1DF1"/>
    <w:rsid w:val="00FB21A6"/>
    <w:rsid w:val="00FB46FE"/>
    <w:rsid w:val="00FB4CCD"/>
    <w:rsid w:val="00FB546C"/>
    <w:rsid w:val="00FB66A7"/>
    <w:rsid w:val="00FB72FB"/>
    <w:rsid w:val="00FB7D09"/>
    <w:rsid w:val="00FC096D"/>
    <w:rsid w:val="00FC0BF8"/>
    <w:rsid w:val="00FC1382"/>
    <w:rsid w:val="00FC3875"/>
    <w:rsid w:val="00FC40AC"/>
    <w:rsid w:val="00FD0EA7"/>
    <w:rsid w:val="00FD1861"/>
    <w:rsid w:val="00FD1AA9"/>
    <w:rsid w:val="00FD2645"/>
    <w:rsid w:val="00FD27BC"/>
    <w:rsid w:val="00FD3F39"/>
    <w:rsid w:val="00FD5BAB"/>
    <w:rsid w:val="00FD606B"/>
    <w:rsid w:val="00FD7690"/>
    <w:rsid w:val="00FE051A"/>
    <w:rsid w:val="00FE0F6C"/>
    <w:rsid w:val="00FE1681"/>
    <w:rsid w:val="00FE172D"/>
    <w:rsid w:val="00FE39F1"/>
    <w:rsid w:val="00FE4B7C"/>
    <w:rsid w:val="00FE5CA5"/>
    <w:rsid w:val="00FE7DA7"/>
    <w:rsid w:val="00FF0C71"/>
    <w:rsid w:val="00FF11DB"/>
    <w:rsid w:val="00FF2CB0"/>
    <w:rsid w:val="00FF3AF8"/>
    <w:rsid w:val="00FF3FF5"/>
    <w:rsid w:val="00FF4A3A"/>
    <w:rsid w:val="00FF4F35"/>
    <w:rsid w:val="00FF6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6270,#7b5e05"/>
    </o:shapedefaults>
    <o:shapelayout v:ext="edit">
      <o:idmap v:ext="edit" data="1"/>
    </o:shapelayout>
  </w:shapeDefaults>
  <w:decimalSymbol w:val="."/>
  <w:listSeparator w:val=","/>
  <w15:docId w15:val="{A033CF0F-4D03-474B-9769-78A12236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2"/>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35A"/>
    <w:pPr>
      <w:spacing w:after="170" w:line="260" w:lineRule="atLeast"/>
    </w:pPr>
    <w:rPr>
      <w:lang w:val="en-NZ"/>
    </w:rPr>
  </w:style>
  <w:style w:type="paragraph" w:styleId="Heading1">
    <w:name w:val="heading 1"/>
    <w:basedOn w:val="Normalcolour"/>
    <w:next w:val="UnnumtextBodytext"/>
    <w:qFormat/>
    <w:rsid w:val="007A77A7"/>
    <w:pPr>
      <w:keepNext/>
      <w:numPr>
        <w:ilvl w:val="1"/>
        <w:numId w:val="22"/>
      </w:numPr>
      <w:pBdr>
        <w:bottom w:val="single" w:sz="4" w:space="7" w:color="7B5E05"/>
      </w:pBdr>
      <w:spacing w:after="280" w:line="480" w:lineRule="atLeast"/>
      <w:outlineLvl w:val="0"/>
    </w:pPr>
    <w:rPr>
      <w:rFonts w:cs="Arial"/>
      <w:b/>
      <w:bCs/>
      <w:kern w:val="32"/>
      <w:sz w:val="48"/>
      <w:szCs w:val="32"/>
    </w:rPr>
  </w:style>
  <w:style w:type="paragraph" w:styleId="Heading2">
    <w:name w:val="heading 2"/>
    <w:basedOn w:val="Normalcolour"/>
    <w:next w:val="UnnumtextBodytext"/>
    <w:link w:val="Heading2Char"/>
    <w:qFormat/>
    <w:rsid w:val="00E91B7F"/>
    <w:pPr>
      <w:keepNext/>
      <w:numPr>
        <w:ilvl w:val="2"/>
        <w:numId w:val="22"/>
      </w:numPr>
      <w:spacing w:before="360" w:after="100"/>
      <w:outlineLvl w:val="1"/>
    </w:pPr>
    <w:rPr>
      <w:rFonts w:cs="Arial"/>
      <w:b/>
      <w:bCs/>
      <w:iCs/>
      <w:sz w:val="40"/>
      <w:szCs w:val="28"/>
    </w:rPr>
  </w:style>
  <w:style w:type="paragraph" w:styleId="Heading3">
    <w:name w:val="heading 3"/>
    <w:basedOn w:val="Normalcolour"/>
    <w:next w:val="UnnumtextBodytext"/>
    <w:qFormat/>
    <w:rsid w:val="00E91B7F"/>
    <w:pPr>
      <w:keepNext/>
      <w:numPr>
        <w:ilvl w:val="3"/>
        <w:numId w:val="22"/>
      </w:numPr>
      <w:spacing w:before="300" w:after="80"/>
      <w:outlineLvl w:val="2"/>
    </w:pPr>
    <w:rPr>
      <w:rFonts w:cs="Arial"/>
      <w:b/>
      <w:bCs/>
      <w:color w:val="000000"/>
      <w:sz w:val="32"/>
      <w:szCs w:val="24"/>
    </w:rPr>
  </w:style>
  <w:style w:type="paragraph" w:styleId="Heading4">
    <w:name w:val="heading 4"/>
    <w:basedOn w:val="Normalcolour"/>
    <w:next w:val="UnnumtextBodytext"/>
    <w:qFormat/>
    <w:rsid w:val="00A715AA"/>
    <w:pPr>
      <w:keepNext/>
      <w:numPr>
        <w:ilvl w:val="4"/>
        <w:numId w:val="22"/>
      </w:numPr>
      <w:spacing w:before="280" w:after="40"/>
      <w:outlineLvl w:val="3"/>
    </w:pPr>
    <w:rPr>
      <w:b/>
      <w:bCs/>
      <w:color w:val="auto"/>
      <w:sz w:val="28"/>
    </w:rPr>
  </w:style>
  <w:style w:type="paragraph" w:styleId="Heading5">
    <w:name w:val="heading 5"/>
    <w:basedOn w:val="Normal"/>
    <w:next w:val="UnnumtextBodytext"/>
    <w:rsid w:val="006907B1"/>
    <w:pPr>
      <w:keepNext/>
      <w:spacing w:before="280" w:after="40"/>
      <w:outlineLvl w:val="4"/>
    </w:pPr>
    <w:rPr>
      <w:b/>
      <w:bCs/>
      <w:iCs/>
      <w:sz w:val="24"/>
    </w:rPr>
  </w:style>
  <w:style w:type="paragraph" w:styleId="Heading6">
    <w:name w:val="heading 6"/>
    <w:basedOn w:val="Normal"/>
    <w:next w:val="Normal"/>
    <w:semiHidden/>
    <w:rsid w:val="00492F51"/>
    <w:pPr>
      <w:numPr>
        <w:ilvl w:val="5"/>
        <w:numId w:val="5"/>
      </w:numPr>
      <w:outlineLvl w:val="5"/>
    </w:pPr>
  </w:style>
  <w:style w:type="paragraph" w:styleId="Heading7">
    <w:name w:val="heading 7"/>
    <w:basedOn w:val="Heading6"/>
    <w:next w:val="Normal"/>
    <w:semiHidden/>
    <w:rsid w:val="00492F51"/>
    <w:pPr>
      <w:numPr>
        <w:ilvl w:val="6"/>
      </w:numPr>
      <w:outlineLvl w:val="6"/>
    </w:pPr>
  </w:style>
  <w:style w:type="paragraph" w:styleId="Heading8">
    <w:name w:val="heading 8"/>
    <w:basedOn w:val="Heading7"/>
    <w:next w:val="Normal"/>
    <w:semiHidden/>
    <w:rsid w:val="00492F51"/>
    <w:pPr>
      <w:numPr>
        <w:ilvl w:val="7"/>
      </w:numPr>
      <w:outlineLvl w:val="7"/>
    </w:pPr>
  </w:style>
  <w:style w:type="paragraph" w:styleId="Heading9">
    <w:name w:val="heading 9"/>
    <w:basedOn w:val="Heading8"/>
    <w:next w:val="Normal"/>
    <w:semiHidden/>
    <w:rsid w:val="00492F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92F51"/>
    <w:pPr>
      <w:tabs>
        <w:tab w:val="center" w:pos="4320"/>
        <w:tab w:val="right" w:pos="8640"/>
      </w:tabs>
    </w:pPr>
  </w:style>
  <w:style w:type="paragraph" w:customStyle="1" w:styleId="Indent1">
    <w:name w:val="Indent 1"/>
    <w:basedOn w:val="Normal"/>
    <w:semiHidden/>
    <w:rsid w:val="00F65B80"/>
    <w:pPr>
      <w:numPr>
        <w:numId w:val="6"/>
      </w:numPr>
      <w:spacing w:before="60" w:after="180" w:line="240" w:lineRule="auto"/>
    </w:pPr>
    <w:rPr>
      <w:rFonts w:ascii="Arial" w:hAnsi="Arial" w:cs="Arial"/>
      <w:kern w:val="28"/>
      <w:szCs w:val="36"/>
    </w:rPr>
  </w:style>
  <w:style w:type="paragraph" w:styleId="Header">
    <w:name w:val="header"/>
    <w:basedOn w:val="Normal"/>
    <w:semiHidden/>
    <w:rsid w:val="00492F51"/>
    <w:rPr>
      <w:sz w:val="18"/>
    </w:rPr>
  </w:style>
  <w:style w:type="paragraph" w:customStyle="1" w:styleId="Numtext11-Bodytextlevel2">
    <w:name w:val="Num text: 1.1 - Body text level 2"/>
    <w:basedOn w:val="Normal"/>
    <w:rsid w:val="00492F51"/>
  </w:style>
  <w:style w:type="paragraph" w:customStyle="1" w:styleId="NumtextIndent2">
    <w:name w:val="Num text: Indent 2"/>
    <w:basedOn w:val="NumtextIndent1"/>
    <w:rsid w:val="00A5001E"/>
    <w:pPr>
      <w:numPr>
        <w:numId w:val="0"/>
      </w:numPr>
      <w:ind w:left="851"/>
    </w:pPr>
  </w:style>
  <w:style w:type="paragraph" w:customStyle="1" w:styleId="Headereven">
    <w:name w:val="Header even"/>
    <w:basedOn w:val="Header"/>
    <w:rsid w:val="00492F51"/>
  </w:style>
  <w:style w:type="paragraph" w:customStyle="1" w:styleId="Headerodd">
    <w:name w:val="Header odd"/>
    <w:basedOn w:val="Header"/>
    <w:rsid w:val="00492F51"/>
    <w:pPr>
      <w:jc w:val="right"/>
    </w:pPr>
  </w:style>
  <w:style w:type="paragraph" w:customStyle="1" w:styleId="NumtextIndent3">
    <w:name w:val="Num text: Indent 3"/>
    <w:basedOn w:val="NumtextIndent2"/>
    <w:rsid w:val="00A5001E"/>
    <w:pPr>
      <w:spacing w:before="56"/>
      <w:ind w:left="1276"/>
    </w:pPr>
  </w:style>
  <w:style w:type="paragraph" w:customStyle="1" w:styleId="Footeroddlandscape">
    <w:name w:val="Footer odd landscape"/>
    <w:basedOn w:val="Normal"/>
    <w:rsid w:val="008776B1"/>
    <w:pPr>
      <w:tabs>
        <w:tab w:val="right" w:pos="14572"/>
      </w:tabs>
      <w:spacing w:after="0"/>
      <w:jc w:val="right"/>
    </w:pPr>
  </w:style>
  <w:style w:type="paragraph" w:customStyle="1" w:styleId="Footerevenlandscape">
    <w:name w:val="Footer even landscape"/>
    <w:basedOn w:val="Normal"/>
    <w:rsid w:val="008776B1"/>
    <w:pPr>
      <w:tabs>
        <w:tab w:val="right" w:pos="14572"/>
      </w:tabs>
      <w:spacing w:after="0"/>
      <w:jc w:val="right"/>
    </w:pPr>
  </w:style>
  <w:style w:type="character" w:styleId="PageNumber">
    <w:name w:val="page number"/>
    <w:basedOn w:val="DefaultParagraphFont"/>
    <w:rsid w:val="00492F51"/>
    <w:rPr>
      <w:rFonts w:ascii="Arial" w:hAnsi="Arial"/>
      <w:sz w:val="20"/>
      <w:szCs w:val="18"/>
    </w:rPr>
  </w:style>
  <w:style w:type="paragraph" w:styleId="TOC1">
    <w:name w:val="toc 1"/>
    <w:next w:val="Normal"/>
    <w:uiPriority w:val="39"/>
    <w:rsid w:val="001428C7"/>
    <w:pPr>
      <w:tabs>
        <w:tab w:val="left" w:pos="425"/>
        <w:tab w:val="right" w:leader="dot" w:pos="7002"/>
      </w:tabs>
      <w:spacing w:before="227" w:after="57" w:line="260" w:lineRule="atLeast"/>
      <w:ind w:left="425" w:right="284" w:hanging="425"/>
    </w:pPr>
    <w:rPr>
      <w:b/>
      <w:szCs w:val="24"/>
      <w:lang w:val="en-NZ" w:eastAsia="en-NZ"/>
    </w:rPr>
  </w:style>
  <w:style w:type="paragraph" w:customStyle="1" w:styleId="Indent2">
    <w:name w:val="Indent 2"/>
    <w:basedOn w:val="Indent1"/>
    <w:semiHidden/>
    <w:rsid w:val="00492F51"/>
    <w:pPr>
      <w:numPr>
        <w:ilvl w:val="1"/>
      </w:numPr>
    </w:pPr>
  </w:style>
  <w:style w:type="paragraph" w:customStyle="1" w:styleId="Indent3">
    <w:name w:val="Indent 3"/>
    <w:basedOn w:val="Indent2"/>
    <w:semiHidden/>
    <w:rsid w:val="00492F51"/>
    <w:pPr>
      <w:numPr>
        <w:ilvl w:val="2"/>
      </w:numPr>
    </w:pPr>
  </w:style>
  <w:style w:type="character" w:customStyle="1" w:styleId="UnnumtextBullet2CharChar">
    <w:name w:val="Unnum text: Bullet 2 Char Char"/>
    <w:basedOn w:val="DefaultParagraphFont"/>
    <w:link w:val="UnnumtextBullet2"/>
    <w:rsid w:val="00723850"/>
    <w:rPr>
      <w:rFonts w:ascii="Garamond" w:hAnsi="Garamond"/>
      <w:sz w:val="22"/>
      <w:szCs w:val="22"/>
      <w:lang w:val="en-NZ"/>
    </w:rPr>
  </w:style>
  <w:style w:type="paragraph" w:customStyle="1" w:styleId="UnnumtextBodytext">
    <w:name w:val="Unnum text: Body text"/>
    <w:basedOn w:val="Normal"/>
    <w:qFormat/>
    <w:rsid w:val="007A32E4"/>
  </w:style>
  <w:style w:type="character" w:customStyle="1" w:styleId="FooterLastsavedate">
    <w:name w:val="Footer Last save date"/>
    <w:basedOn w:val="DefaultParagraphFont"/>
    <w:rsid w:val="00492F51"/>
  </w:style>
  <w:style w:type="paragraph" w:styleId="ListNumber">
    <w:name w:val="List Number"/>
    <w:basedOn w:val="Normal"/>
    <w:semiHidden/>
    <w:rsid w:val="00492F51"/>
    <w:pPr>
      <w:numPr>
        <w:ilvl w:val="1"/>
        <w:numId w:val="7"/>
      </w:numPr>
    </w:pPr>
  </w:style>
  <w:style w:type="paragraph" w:styleId="ListNumber2">
    <w:name w:val="List Number 2"/>
    <w:basedOn w:val="Normal"/>
    <w:semiHidden/>
    <w:rsid w:val="00492F51"/>
  </w:style>
  <w:style w:type="paragraph" w:styleId="ListNumber3">
    <w:name w:val="List Number 3"/>
    <w:basedOn w:val="Normal"/>
    <w:semiHidden/>
    <w:rsid w:val="00492F51"/>
  </w:style>
  <w:style w:type="paragraph" w:styleId="TOC2">
    <w:name w:val="toc 2"/>
    <w:next w:val="Normal"/>
    <w:uiPriority w:val="39"/>
    <w:rsid w:val="001428C7"/>
    <w:pPr>
      <w:tabs>
        <w:tab w:val="left" w:pos="1134"/>
        <w:tab w:val="right" w:leader="dot" w:pos="7002"/>
      </w:tabs>
      <w:spacing w:before="40" w:line="260" w:lineRule="atLeast"/>
      <w:ind w:left="850" w:right="284" w:hanging="425"/>
    </w:pPr>
    <w:rPr>
      <w:szCs w:val="24"/>
      <w:lang w:val="en-NZ" w:eastAsia="en-NZ"/>
    </w:rPr>
  </w:style>
  <w:style w:type="paragraph" w:styleId="TOC3">
    <w:name w:val="toc 3"/>
    <w:basedOn w:val="Normal"/>
    <w:next w:val="Normal"/>
    <w:uiPriority w:val="39"/>
    <w:rsid w:val="005A643B"/>
    <w:pPr>
      <w:tabs>
        <w:tab w:val="left" w:pos="1559"/>
        <w:tab w:val="right" w:leader="dot" w:pos="7002"/>
      </w:tabs>
      <w:spacing w:before="40" w:after="0"/>
      <w:ind w:left="1560" w:right="284" w:hanging="709"/>
    </w:pPr>
  </w:style>
  <w:style w:type="paragraph" w:styleId="TOC4">
    <w:name w:val="toc 4"/>
    <w:basedOn w:val="Normal"/>
    <w:next w:val="Normal"/>
    <w:uiPriority w:val="39"/>
    <w:rsid w:val="001428C7"/>
    <w:pPr>
      <w:tabs>
        <w:tab w:val="right" w:leader="dot" w:pos="7002"/>
      </w:tabs>
      <w:spacing w:before="40" w:after="0"/>
      <w:ind w:left="1559" w:right="284"/>
    </w:pPr>
  </w:style>
  <w:style w:type="paragraph" w:styleId="TOC5">
    <w:name w:val="toc 5"/>
    <w:basedOn w:val="Normal"/>
    <w:next w:val="Normal"/>
    <w:uiPriority w:val="39"/>
    <w:rsid w:val="001428C7"/>
    <w:pPr>
      <w:tabs>
        <w:tab w:val="right" w:leader="dot" w:pos="7002"/>
      </w:tabs>
      <w:spacing w:before="40" w:after="0"/>
      <w:ind w:left="1843" w:right="284"/>
    </w:pPr>
  </w:style>
  <w:style w:type="paragraph" w:styleId="TOC6">
    <w:name w:val="toc 6"/>
    <w:basedOn w:val="Normal"/>
    <w:next w:val="Normal"/>
    <w:semiHidden/>
    <w:rsid w:val="002F26BC"/>
    <w:pPr>
      <w:tabs>
        <w:tab w:val="right" w:leader="dot" w:pos="7002"/>
      </w:tabs>
      <w:spacing w:before="40" w:after="40"/>
      <w:ind w:right="284"/>
    </w:pPr>
  </w:style>
  <w:style w:type="paragraph" w:styleId="TOC7">
    <w:name w:val="toc 7"/>
    <w:basedOn w:val="Normal"/>
    <w:next w:val="Normal"/>
    <w:semiHidden/>
    <w:rsid w:val="001428C7"/>
    <w:pPr>
      <w:tabs>
        <w:tab w:val="right" w:leader="dot" w:pos="7002"/>
      </w:tabs>
      <w:spacing w:before="40" w:after="0"/>
      <w:ind w:left="709" w:right="567"/>
    </w:pPr>
  </w:style>
  <w:style w:type="paragraph" w:styleId="TOC8">
    <w:name w:val="toc 8"/>
    <w:basedOn w:val="Normal"/>
    <w:next w:val="Normal"/>
    <w:semiHidden/>
    <w:rsid w:val="001428C7"/>
    <w:pPr>
      <w:tabs>
        <w:tab w:val="right" w:leader="dot" w:pos="7002"/>
      </w:tabs>
      <w:spacing w:before="40" w:after="0"/>
      <w:ind w:left="1418" w:right="567"/>
    </w:pPr>
  </w:style>
  <w:style w:type="paragraph" w:styleId="TOC9">
    <w:name w:val="toc 9"/>
    <w:basedOn w:val="Normal"/>
    <w:next w:val="Normal"/>
    <w:semiHidden/>
    <w:rsid w:val="001428C7"/>
    <w:pPr>
      <w:tabs>
        <w:tab w:val="right" w:leader="dot" w:pos="7002"/>
      </w:tabs>
      <w:spacing w:before="40" w:after="0"/>
      <w:ind w:left="2126" w:right="567"/>
    </w:pPr>
  </w:style>
  <w:style w:type="paragraph" w:customStyle="1" w:styleId="Footeroddportrait">
    <w:name w:val="Footer odd portrait"/>
    <w:basedOn w:val="Normal"/>
    <w:rsid w:val="00492F51"/>
    <w:pPr>
      <w:tabs>
        <w:tab w:val="right" w:pos="7938"/>
      </w:tabs>
      <w:spacing w:after="0"/>
      <w:jc w:val="right"/>
    </w:pPr>
  </w:style>
  <w:style w:type="paragraph" w:customStyle="1" w:styleId="Footerevenportrait">
    <w:name w:val="Footer even portrait"/>
    <w:basedOn w:val="Normal"/>
    <w:rsid w:val="00492F51"/>
    <w:pPr>
      <w:tabs>
        <w:tab w:val="right" w:pos="7938"/>
      </w:tabs>
      <w:spacing w:after="0"/>
      <w:jc w:val="right"/>
    </w:pPr>
  </w:style>
  <w:style w:type="paragraph" w:styleId="FootnoteText">
    <w:name w:val="footnote text"/>
    <w:basedOn w:val="Normal"/>
    <w:rsid w:val="00492F51"/>
    <w:pPr>
      <w:tabs>
        <w:tab w:val="left" w:pos="340"/>
      </w:tabs>
      <w:spacing w:after="60" w:line="160" w:lineRule="atLeast"/>
      <w:ind w:left="340" w:hanging="340"/>
    </w:pPr>
    <w:rPr>
      <w:sz w:val="18"/>
    </w:rPr>
  </w:style>
  <w:style w:type="paragraph" w:customStyle="1" w:styleId="ListStartNumberedparagraphs">
    <w:name w:val="ListStart Numbered paragraphs"/>
    <w:next w:val="Numberedparagraphs-1"/>
    <w:rsid w:val="00355FA8"/>
    <w:pPr>
      <w:keepNext/>
      <w:keepLines/>
      <w:framePr w:wrap="around" w:vAnchor="text" w:hAnchor="text" w:x="-565" w:y="1"/>
      <w:widowControl w:val="0"/>
      <w:numPr>
        <w:numId w:val="21"/>
      </w:numPr>
    </w:pPr>
    <w:rPr>
      <w:color w:val="800080"/>
      <w:sz w:val="18"/>
      <w:lang w:val="en-NZ" w:eastAsia="en-NZ"/>
    </w:rPr>
  </w:style>
  <w:style w:type="paragraph" w:customStyle="1" w:styleId="Bullet">
    <w:name w:val="Bullet"/>
    <w:basedOn w:val="Normal"/>
    <w:semiHidden/>
    <w:rsid w:val="00492F51"/>
    <w:pPr>
      <w:numPr>
        <w:numId w:val="4"/>
      </w:numPr>
      <w:spacing w:after="120"/>
    </w:pPr>
  </w:style>
  <w:style w:type="table" w:styleId="TableGrid">
    <w:name w:val="Table Grid"/>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semiHidden/>
    <w:rsid w:val="00492F51"/>
    <w:pPr>
      <w:spacing w:before="40" w:after="40"/>
    </w:pPr>
    <w:rPr>
      <w:rFonts w:ascii="Arial" w:hAnsi="Arial"/>
      <w:b/>
      <w:sz w:val="18"/>
    </w:rPr>
  </w:style>
  <w:style w:type="numbering" w:styleId="111111">
    <w:name w:val="Outline List 2"/>
    <w:basedOn w:val="NoList"/>
    <w:semiHidden/>
    <w:rsid w:val="00492F51"/>
    <w:pPr>
      <w:numPr>
        <w:numId w:val="1"/>
      </w:numPr>
    </w:pPr>
  </w:style>
  <w:style w:type="paragraph" w:customStyle="1" w:styleId="Quotation">
    <w:name w:val="Quotation"/>
    <w:basedOn w:val="Normal"/>
    <w:rsid w:val="00A678C4"/>
    <w:pPr>
      <w:ind w:left="227"/>
    </w:pPr>
    <w:rPr>
      <w:i/>
      <w:spacing w:val="15"/>
      <w:sz w:val="21"/>
    </w:rPr>
  </w:style>
  <w:style w:type="paragraph" w:styleId="Date">
    <w:name w:val="Date"/>
    <w:basedOn w:val="Normal"/>
    <w:next w:val="Normal"/>
    <w:semiHidden/>
    <w:rsid w:val="00492F51"/>
    <w:pPr>
      <w:spacing w:after="454"/>
    </w:pPr>
  </w:style>
  <w:style w:type="character" w:styleId="Hyperlink">
    <w:name w:val="Hyperlink"/>
    <w:basedOn w:val="DefaultParagraphFont"/>
    <w:uiPriority w:val="99"/>
    <w:rsid w:val="00492F51"/>
    <w:rPr>
      <w:color w:val="0000FF"/>
      <w:u w:val="single"/>
    </w:rPr>
  </w:style>
  <w:style w:type="paragraph" w:styleId="EnvelopeAddress">
    <w:name w:val="envelope address"/>
    <w:basedOn w:val="Normal"/>
    <w:semiHidden/>
    <w:rsid w:val="00492F51"/>
    <w:pPr>
      <w:framePr w:w="7920" w:h="1980" w:hRule="exact" w:hSpace="180" w:wrap="auto" w:hAnchor="page" w:xAlign="center" w:yAlign="bottom"/>
      <w:ind w:left="2880"/>
    </w:pPr>
    <w:rPr>
      <w:rFonts w:cs="Arial"/>
      <w:sz w:val="24"/>
    </w:rPr>
  </w:style>
  <w:style w:type="paragraph" w:customStyle="1" w:styleId="ListStartNumtextBodytext">
    <w:name w:val="ListStart Numtext: Body text"/>
    <w:next w:val="Numtext1-Bodytextlevel1"/>
    <w:rsid w:val="00492F51"/>
    <w:pPr>
      <w:keepNext/>
      <w:keepLines/>
      <w:framePr w:wrap="around" w:vAnchor="text" w:hAnchor="text" w:x="-565" w:y="1"/>
      <w:widowControl w:val="0"/>
      <w:numPr>
        <w:numId w:val="8"/>
      </w:numPr>
    </w:pPr>
    <w:rPr>
      <w:color w:val="800080"/>
      <w:sz w:val="18"/>
      <w:lang w:val="en-NZ" w:eastAsia="en-NZ"/>
    </w:rPr>
  </w:style>
  <w:style w:type="paragraph" w:customStyle="1" w:styleId="Numtext111-Bodytextlevel3">
    <w:name w:val="Num text: 1.1.1 - Body text level 3"/>
    <w:basedOn w:val="Normal"/>
    <w:rsid w:val="00492F51"/>
  </w:style>
  <w:style w:type="paragraph" w:customStyle="1" w:styleId="FooterEvenPage">
    <w:name w:val="Footer Even Page"/>
    <w:basedOn w:val="Normal"/>
    <w:semiHidden/>
    <w:rsid w:val="00492F51"/>
    <w:pPr>
      <w:tabs>
        <w:tab w:val="right" w:pos="8505"/>
      </w:tabs>
      <w:spacing w:after="0"/>
    </w:pPr>
  </w:style>
  <w:style w:type="paragraph" w:styleId="TableofAuthorities">
    <w:name w:val="table of authorities"/>
    <w:basedOn w:val="Normal"/>
    <w:next w:val="Normal"/>
    <w:semiHidden/>
    <w:rsid w:val="00492F51"/>
    <w:pPr>
      <w:ind w:left="220" w:hanging="220"/>
    </w:pPr>
  </w:style>
  <w:style w:type="paragraph" w:customStyle="1" w:styleId="Biblio">
    <w:name w:val="Biblio"/>
    <w:basedOn w:val="Normal"/>
    <w:semiHidden/>
    <w:rsid w:val="00492F51"/>
    <w:pPr>
      <w:spacing w:after="240"/>
    </w:pPr>
    <w:rPr>
      <w:rFonts w:ascii="Times New Roman" w:hAnsi="Times New Roman"/>
      <w:sz w:val="24"/>
      <w:szCs w:val="24"/>
      <w:lang w:eastAsia="en-GB"/>
    </w:rPr>
  </w:style>
  <w:style w:type="numbering" w:styleId="1ai">
    <w:name w:val="Outline List 1"/>
    <w:basedOn w:val="NoList"/>
    <w:semiHidden/>
    <w:rsid w:val="00492F51"/>
    <w:pPr>
      <w:numPr>
        <w:numId w:val="2"/>
      </w:numPr>
    </w:pPr>
  </w:style>
  <w:style w:type="paragraph" w:customStyle="1" w:styleId="Footerlandscape">
    <w:name w:val="Footer landscape"/>
    <w:basedOn w:val="Normal"/>
    <w:semiHidden/>
    <w:rsid w:val="00492F51"/>
    <w:pPr>
      <w:tabs>
        <w:tab w:val="right" w:pos="12871"/>
      </w:tabs>
      <w:spacing w:after="0"/>
      <w:jc w:val="right"/>
    </w:pPr>
  </w:style>
  <w:style w:type="paragraph" w:styleId="Caption">
    <w:name w:val="caption"/>
    <w:basedOn w:val="Normal"/>
    <w:rsid w:val="000C02E8"/>
    <w:pPr>
      <w:keepNext/>
    </w:pPr>
    <w:rPr>
      <w:b/>
      <w:bCs/>
    </w:rPr>
  </w:style>
  <w:style w:type="paragraph" w:customStyle="1" w:styleId="Heading-tableofappendices">
    <w:name w:val="Heading - table of appendices"/>
    <w:basedOn w:val="Normalcolour"/>
    <w:next w:val="UnnumtextBodytext"/>
    <w:rsid w:val="008613AF"/>
    <w:pPr>
      <w:spacing w:before="260" w:after="40" w:line="240" w:lineRule="auto"/>
    </w:pPr>
    <w:rPr>
      <w:b/>
      <w:color w:val="000000"/>
      <w:sz w:val="28"/>
    </w:rPr>
  </w:style>
  <w:style w:type="paragraph" w:customStyle="1" w:styleId="Tablesource">
    <w:name w:val="Table source"/>
    <w:basedOn w:val="Normal"/>
    <w:next w:val="Normal"/>
    <w:semiHidden/>
    <w:rsid w:val="00492F51"/>
    <w:pPr>
      <w:spacing w:before="120" w:after="120"/>
    </w:pPr>
    <w:rPr>
      <w:sz w:val="19"/>
      <w:szCs w:val="19"/>
    </w:rPr>
  </w:style>
  <w:style w:type="paragraph" w:customStyle="1" w:styleId="Normalcolour">
    <w:name w:val="Normal colour"/>
    <w:basedOn w:val="Normal"/>
    <w:link w:val="NormalcolourChar"/>
    <w:rsid w:val="00333BF5"/>
    <w:rPr>
      <w:color w:val="7B5E05"/>
    </w:rPr>
  </w:style>
  <w:style w:type="paragraph" w:customStyle="1" w:styleId="Heading-nonumber">
    <w:name w:val="Heading - no number"/>
    <w:basedOn w:val="Normalcolour"/>
    <w:next w:val="UnnumtextBodytext"/>
    <w:rsid w:val="00BF4400"/>
    <w:pPr>
      <w:keepNext/>
      <w:pageBreakBefore/>
      <w:pBdr>
        <w:bottom w:val="single" w:sz="4" w:space="7" w:color="7B5E05"/>
      </w:pBdr>
      <w:spacing w:after="280" w:line="480" w:lineRule="atLeast"/>
      <w:outlineLvl w:val="0"/>
    </w:pPr>
    <w:rPr>
      <w:b/>
      <w:sz w:val="48"/>
    </w:rPr>
  </w:style>
  <w:style w:type="paragraph" w:customStyle="1" w:styleId="Coverline">
    <w:name w:val="Cover line"/>
    <w:basedOn w:val="Normal"/>
    <w:rsid w:val="00492F51"/>
    <w:pPr>
      <w:spacing w:after="0" w:line="240" w:lineRule="auto"/>
    </w:pPr>
  </w:style>
  <w:style w:type="paragraph" w:styleId="BodyText">
    <w:name w:val="Body Text"/>
    <w:basedOn w:val="Normal"/>
    <w:link w:val="BodyTextChar"/>
    <w:rsid w:val="00492F51"/>
    <w:pPr>
      <w:numPr>
        <w:ilvl w:val="1"/>
        <w:numId w:val="19"/>
      </w:numPr>
      <w:spacing w:after="120"/>
    </w:pPr>
  </w:style>
  <w:style w:type="paragraph" w:customStyle="1" w:styleId="Coverprivilegedandconfidential">
    <w:name w:val="Cover privileged and confidential"/>
    <w:basedOn w:val="Normal"/>
    <w:rsid w:val="00492F51"/>
    <w:pPr>
      <w:spacing w:after="0" w:line="240" w:lineRule="auto"/>
      <w:jc w:val="right"/>
    </w:pPr>
  </w:style>
  <w:style w:type="paragraph" w:customStyle="1" w:styleId="Glossary">
    <w:name w:val="Glossary"/>
    <w:basedOn w:val="Normal"/>
    <w:semiHidden/>
    <w:rsid w:val="00492F51"/>
    <w:pPr>
      <w:spacing w:before="60" w:after="60"/>
    </w:pPr>
    <w:rPr>
      <w:b/>
    </w:rPr>
  </w:style>
  <w:style w:type="paragraph" w:customStyle="1" w:styleId="ApxHeading1">
    <w:name w:val="Apx Heading 1"/>
    <w:basedOn w:val="Heading1"/>
    <w:next w:val="UnnumtextBodytext"/>
    <w:rsid w:val="001127BD"/>
    <w:pPr>
      <w:pageBreakBefore/>
      <w:numPr>
        <w:ilvl w:val="0"/>
        <w:numId w:val="30"/>
      </w:numPr>
      <w:outlineLvl w:val="5"/>
    </w:pPr>
    <w:rPr>
      <w:bCs w:val="0"/>
    </w:rPr>
  </w:style>
  <w:style w:type="paragraph" w:customStyle="1" w:styleId="ApxHeading2">
    <w:name w:val="Apx Heading 2"/>
    <w:basedOn w:val="Normalcolour"/>
    <w:next w:val="UnnumtextBodytext"/>
    <w:rsid w:val="00492F51"/>
    <w:pPr>
      <w:keepNext/>
      <w:spacing w:before="360" w:after="100"/>
      <w:outlineLvl w:val="6"/>
    </w:pPr>
    <w:rPr>
      <w:b/>
      <w:bCs/>
      <w:sz w:val="36"/>
      <w:szCs w:val="28"/>
    </w:rPr>
  </w:style>
  <w:style w:type="paragraph" w:customStyle="1" w:styleId="ApxHeading3">
    <w:name w:val="Apx Heading 3"/>
    <w:basedOn w:val="Normal"/>
    <w:next w:val="UnnumtextBodytext"/>
    <w:rsid w:val="00492F51"/>
    <w:pPr>
      <w:keepNext/>
      <w:spacing w:before="260" w:after="40"/>
      <w:outlineLvl w:val="7"/>
    </w:pPr>
    <w:rPr>
      <w:b/>
      <w:bCs/>
      <w:sz w:val="28"/>
      <w:szCs w:val="24"/>
    </w:rPr>
  </w:style>
  <w:style w:type="paragraph" w:customStyle="1" w:styleId="ApxHeading4">
    <w:name w:val="Apx Heading 4"/>
    <w:basedOn w:val="Normal"/>
    <w:next w:val="UnnumtextBodytext"/>
    <w:rsid w:val="00492F51"/>
    <w:pPr>
      <w:keepNext/>
      <w:spacing w:before="120" w:after="0"/>
      <w:outlineLvl w:val="8"/>
    </w:pPr>
    <w:rPr>
      <w:b/>
      <w:bCs/>
      <w:szCs w:val="24"/>
    </w:rPr>
  </w:style>
  <w:style w:type="paragraph" w:customStyle="1" w:styleId="Numtext1-Bodytextlevel1">
    <w:name w:val="Num text: 1. - Body text level 1"/>
    <w:basedOn w:val="Normal"/>
    <w:rsid w:val="000B6C09"/>
    <w:pPr>
      <w:numPr>
        <w:ilvl w:val="1"/>
        <w:numId w:val="8"/>
      </w:numPr>
      <w:tabs>
        <w:tab w:val="clear" w:pos="680"/>
        <w:tab w:val="left" w:pos="425"/>
      </w:tabs>
    </w:pPr>
    <w:rPr>
      <w:szCs w:val="24"/>
    </w:rPr>
  </w:style>
  <w:style w:type="numbering" w:styleId="ArticleSection">
    <w:name w:val="Outline List 3"/>
    <w:basedOn w:val="NoList"/>
    <w:semiHidden/>
    <w:rsid w:val="00492F51"/>
    <w:pPr>
      <w:numPr>
        <w:numId w:val="3"/>
      </w:numPr>
    </w:pPr>
  </w:style>
  <w:style w:type="paragraph" w:styleId="BalloonText">
    <w:name w:val="Balloon Text"/>
    <w:basedOn w:val="Normal"/>
    <w:semiHidden/>
    <w:rsid w:val="00492F51"/>
    <w:rPr>
      <w:rFonts w:ascii="Tahoma" w:hAnsi="Tahoma" w:cs="Tahoma"/>
      <w:sz w:val="16"/>
      <w:szCs w:val="16"/>
    </w:rPr>
  </w:style>
  <w:style w:type="paragraph" w:customStyle="1" w:styleId="Bibliographicreferences">
    <w:name w:val="Bibliographic references"/>
    <w:semiHidden/>
    <w:rsid w:val="00492F51"/>
    <w:pPr>
      <w:ind w:left="170" w:hanging="170"/>
    </w:pPr>
    <w:rPr>
      <w:rFonts w:ascii="Arial" w:hAnsi="Arial"/>
      <w:lang w:val="en-NZ" w:eastAsia="en-NZ"/>
    </w:rPr>
  </w:style>
  <w:style w:type="paragraph" w:customStyle="1" w:styleId="Coversubhead">
    <w:name w:val="Cover subhead"/>
    <w:basedOn w:val="Normal"/>
    <w:rsid w:val="0005642C"/>
    <w:pPr>
      <w:spacing w:after="0"/>
      <w:ind w:right="2835"/>
    </w:pPr>
    <w:rPr>
      <w:b/>
      <w:sz w:val="28"/>
    </w:rPr>
  </w:style>
  <w:style w:type="paragraph" w:customStyle="1" w:styleId="Coverheading">
    <w:name w:val="Cover heading"/>
    <w:basedOn w:val="Normalcolour"/>
    <w:rsid w:val="00492F51"/>
    <w:pPr>
      <w:spacing w:after="0" w:line="580" w:lineRule="atLeast"/>
    </w:pPr>
    <w:rPr>
      <w:b/>
      <w:sz w:val="50"/>
    </w:rPr>
  </w:style>
  <w:style w:type="paragraph" w:customStyle="1" w:styleId="Coverauthor">
    <w:name w:val="Cover author"/>
    <w:basedOn w:val="Normal"/>
    <w:rsid w:val="00492F51"/>
    <w:pPr>
      <w:spacing w:after="0" w:line="290" w:lineRule="atLeast"/>
    </w:pPr>
    <w:rPr>
      <w:b/>
      <w:i/>
      <w:sz w:val="24"/>
    </w:rPr>
  </w:style>
  <w:style w:type="paragraph" w:customStyle="1" w:styleId="Heading-contents">
    <w:name w:val="Heading - contents"/>
    <w:basedOn w:val="Heading1"/>
    <w:next w:val="UnnumtextBodytext"/>
    <w:rsid w:val="00BF4400"/>
    <w:pPr>
      <w:numPr>
        <w:ilvl w:val="0"/>
        <w:numId w:val="0"/>
      </w:numPr>
      <w:outlineLvl w:val="9"/>
    </w:pPr>
    <w:rPr>
      <w:bCs w:val="0"/>
    </w:rPr>
  </w:style>
  <w:style w:type="paragraph" w:styleId="DocumentMap">
    <w:name w:val="Document Map"/>
    <w:basedOn w:val="Normal"/>
    <w:semiHidden/>
    <w:rsid w:val="00492F51"/>
    <w:pPr>
      <w:shd w:val="clear" w:color="auto" w:fill="000080"/>
    </w:pPr>
    <w:rPr>
      <w:rFonts w:ascii="Tahoma" w:hAnsi="Tahoma" w:cs="Tahoma"/>
    </w:rPr>
  </w:style>
  <w:style w:type="paragraph" w:customStyle="1" w:styleId="Endnotenumberonly">
    <w:name w:val="Endnote (number only)"/>
    <w:next w:val="Normal"/>
    <w:semiHidden/>
    <w:rsid w:val="00492F51"/>
    <w:pPr>
      <w:spacing w:after="40"/>
    </w:pPr>
    <w:rPr>
      <w:rFonts w:ascii="Arial" w:hAnsi="Arial"/>
      <w:vertAlign w:val="superscript"/>
      <w:lang w:val="en-NZ" w:eastAsia="en-NZ"/>
    </w:rPr>
  </w:style>
  <w:style w:type="character" w:styleId="EndnoteReference">
    <w:name w:val="endnote reference"/>
    <w:basedOn w:val="DefaultParagraphFont"/>
    <w:semiHidden/>
    <w:rsid w:val="00492F51"/>
    <w:rPr>
      <w:rFonts w:ascii="Arial" w:hAnsi="Arial"/>
      <w:sz w:val="20"/>
      <w:szCs w:val="20"/>
      <w:vertAlign w:val="superscript"/>
    </w:rPr>
  </w:style>
  <w:style w:type="paragraph" w:customStyle="1" w:styleId="EndnoteText1">
    <w:name w:val="Endnote Text1"/>
    <w:next w:val="Normal"/>
    <w:semiHidden/>
    <w:rsid w:val="00492F51"/>
    <w:pPr>
      <w:spacing w:after="40"/>
      <w:ind w:left="142" w:hanging="142"/>
    </w:pPr>
    <w:rPr>
      <w:rFonts w:ascii="Arial" w:hAnsi="Arial"/>
      <w:szCs w:val="24"/>
      <w:lang w:val="en-NZ" w:eastAsia="en-NZ"/>
    </w:rPr>
  </w:style>
  <w:style w:type="paragraph" w:styleId="EndnoteText">
    <w:name w:val="endnote text"/>
    <w:semiHidden/>
    <w:rsid w:val="00492F51"/>
    <w:pPr>
      <w:spacing w:after="40"/>
      <w:ind w:left="142" w:hanging="142"/>
    </w:pPr>
    <w:rPr>
      <w:rFonts w:ascii="Arial" w:hAnsi="Arial"/>
      <w:lang w:val="en-NZ" w:eastAsia="en-NZ"/>
    </w:rPr>
  </w:style>
  <w:style w:type="paragraph" w:styleId="EnvelopeReturn">
    <w:name w:val="envelope return"/>
    <w:basedOn w:val="Normal"/>
    <w:semiHidden/>
    <w:rsid w:val="00492F51"/>
    <w:rPr>
      <w:rFonts w:cs="Arial"/>
    </w:rPr>
  </w:style>
  <w:style w:type="paragraph" w:customStyle="1" w:styleId="Coverdate">
    <w:name w:val="Cover date"/>
    <w:basedOn w:val="Normal"/>
    <w:rsid w:val="005A2342"/>
    <w:pPr>
      <w:spacing w:before="440" w:after="0" w:line="240" w:lineRule="auto"/>
    </w:pPr>
    <w:rPr>
      <w:sz w:val="28"/>
    </w:rPr>
  </w:style>
  <w:style w:type="character" w:styleId="FollowedHyperlink">
    <w:name w:val="FollowedHyperlink"/>
    <w:basedOn w:val="DefaultParagraphFont"/>
    <w:semiHidden/>
    <w:rsid w:val="00492F51"/>
    <w:rPr>
      <w:color w:val="800080"/>
      <w:u w:val="single"/>
    </w:rPr>
  </w:style>
  <w:style w:type="character" w:customStyle="1" w:styleId="NormalcolourChar">
    <w:name w:val="Normal colour Char"/>
    <w:basedOn w:val="DefaultParagraphFont"/>
    <w:link w:val="Normalcolour"/>
    <w:rsid w:val="00333BF5"/>
    <w:rPr>
      <w:rFonts w:ascii="Garamond" w:hAnsi="Garamond"/>
      <w:color w:val="7B5E05"/>
      <w:sz w:val="22"/>
      <w:szCs w:val="22"/>
      <w:lang w:val="en-NZ" w:eastAsia="en-NZ"/>
    </w:rPr>
  </w:style>
  <w:style w:type="character" w:styleId="FootnoteReference">
    <w:name w:val="footnote reference"/>
    <w:basedOn w:val="DefaultParagraphFont"/>
    <w:rsid w:val="00492F51"/>
    <w:rPr>
      <w:rFonts w:ascii="Garamond" w:hAnsi="Garamond"/>
      <w:sz w:val="20"/>
      <w:szCs w:val="20"/>
      <w:vertAlign w:val="superscript"/>
    </w:rPr>
  </w:style>
  <w:style w:type="paragraph" w:customStyle="1" w:styleId="Singlespacedparagraph">
    <w:name w:val="Single spaced paragraph"/>
    <w:basedOn w:val="Normal"/>
    <w:rsid w:val="00492F51"/>
    <w:pPr>
      <w:spacing w:after="0"/>
    </w:pPr>
  </w:style>
  <w:style w:type="paragraph" w:styleId="Index1">
    <w:name w:val="index 1"/>
    <w:basedOn w:val="Normal"/>
    <w:next w:val="Normal"/>
    <w:autoRedefine/>
    <w:semiHidden/>
    <w:rsid w:val="00492F51"/>
    <w:pPr>
      <w:ind w:left="220" w:hanging="220"/>
    </w:pPr>
  </w:style>
  <w:style w:type="paragraph" w:styleId="Index2">
    <w:name w:val="index 2"/>
    <w:basedOn w:val="Normal"/>
    <w:next w:val="Normal"/>
    <w:autoRedefine/>
    <w:semiHidden/>
    <w:rsid w:val="00492F51"/>
    <w:pPr>
      <w:ind w:left="440" w:hanging="220"/>
    </w:pPr>
  </w:style>
  <w:style w:type="paragraph" w:styleId="Index3">
    <w:name w:val="index 3"/>
    <w:basedOn w:val="Normal"/>
    <w:next w:val="Normal"/>
    <w:autoRedefine/>
    <w:semiHidden/>
    <w:rsid w:val="00492F51"/>
    <w:pPr>
      <w:ind w:left="660" w:hanging="220"/>
    </w:pPr>
  </w:style>
  <w:style w:type="paragraph" w:styleId="Index4">
    <w:name w:val="index 4"/>
    <w:basedOn w:val="Normal"/>
    <w:next w:val="Normal"/>
    <w:autoRedefine/>
    <w:semiHidden/>
    <w:rsid w:val="00492F51"/>
    <w:pPr>
      <w:ind w:left="880" w:hanging="220"/>
    </w:pPr>
  </w:style>
  <w:style w:type="paragraph" w:customStyle="1" w:styleId="Notes">
    <w:name w:val="Notes"/>
    <w:basedOn w:val="Normal"/>
    <w:rsid w:val="00977F8C"/>
    <w:pPr>
      <w:keepNext/>
      <w:numPr>
        <w:numId w:val="18"/>
      </w:numPr>
      <w:spacing w:after="60" w:line="240" w:lineRule="auto"/>
    </w:pPr>
    <w:rPr>
      <w:sz w:val="18"/>
    </w:rPr>
  </w:style>
  <w:style w:type="paragraph" w:styleId="Index6">
    <w:name w:val="index 6"/>
    <w:basedOn w:val="Normal"/>
    <w:next w:val="Normal"/>
    <w:autoRedefine/>
    <w:semiHidden/>
    <w:rsid w:val="00492F51"/>
    <w:pPr>
      <w:ind w:left="1320" w:hanging="220"/>
    </w:pPr>
  </w:style>
  <w:style w:type="paragraph" w:styleId="Index7">
    <w:name w:val="index 7"/>
    <w:basedOn w:val="Normal"/>
    <w:next w:val="Normal"/>
    <w:autoRedefine/>
    <w:semiHidden/>
    <w:rsid w:val="00492F51"/>
    <w:pPr>
      <w:ind w:left="1540" w:hanging="220"/>
    </w:pPr>
  </w:style>
  <w:style w:type="paragraph" w:styleId="Index8">
    <w:name w:val="index 8"/>
    <w:basedOn w:val="Normal"/>
    <w:next w:val="Normal"/>
    <w:autoRedefine/>
    <w:semiHidden/>
    <w:rsid w:val="00492F51"/>
    <w:pPr>
      <w:ind w:left="1760" w:hanging="220"/>
    </w:pPr>
  </w:style>
  <w:style w:type="paragraph" w:styleId="Index9">
    <w:name w:val="index 9"/>
    <w:basedOn w:val="Normal"/>
    <w:next w:val="Normal"/>
    <w:autoRedefine/>
    <w:semiHidden/>
    <w:rsid w:val="00492F51"/>
    <w:pPr>
      <w:ind w:left="1980" w:hanging="220"/>
    </w:pPr>
  </w:style>
  <w:style w:type="paragraph" w:customStyle="1" w:styleId="Captionsubheading">
    <w:name w:val="Caption sub heading"/>
    <w:basedOn w:val="Normal"/>
    <w:rsid w:val="00756BC2"/>
    <w:pPr>
      <w:keepNext/>
      <w:spacing w:before="60" w:after="80"/>
    </w:pPr>
  </w:style>
  <w:style w:type="character" w:styleId="CommentReference">
    <w:name w:val="annotation reference"/>
    <w:basedOn w:val="DefaultParagraphFont"/>
    <w:semiHidden/>
    <w:rsid w:val="00492F51"/>
    <w:rPr>
      <w:sz w:val="16"/>
      <w:szCs w:val="16"/>
    </w:rPr>
  </w:style>
  <w:style w:type="paragraph" w:styleId="CommentText">
    <w:name w:val="annotation text"/>
    <w:basedOn w:val="Normal"/>
    <w:semiHidden/>
    <w:rsid w:val="00492F51"/>
  </w:style>
  <w:style w:type="paragraph" w:styleId="MacroText">
    <w:name w:val="macro"/>
    <w:semiHidden/>
    <w:rsid w:val="00492F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CommentSubject">
    <w:name w:val="annotation subject"/>
    <w:basedOn w:val="CommentText"/>
    <w:next w:val="CommentText"/>
    <w:semiHidden/>
    <w:rsid w:val="00492F51"/>
    <w:rPr>
      <w:b/>
      <w:bCs/>
    </w:rPr>
  </w:style>
  <w:style w:type="paragraph" w:styleId="NormalWeb">
    <w:name w:val="Normal (Web)"/>
    <w:basedOn w:val="Normal"/>
    <w:semiHidden/>
    <w:rsid w:val="00492F51"/>
    <w:rPr>
      <w:rFonts w:ascii="Times New Roman" w:hAnsi="Times New Roman"/>
      <w:sz w:val="24"/>
    </w:rPr>
  </w:style>
  <w:style w:type="paragraph" w:styleId="NormalIndent">
    <w:name w:val="Normal Indent"/>
    <w:basedOn w:val="Normal"/>
    <w:semiHidden/>
    <w:rsid w:val="00492F51"/>
    <w:pPr>
      <w:ind w:left="720"/>
    </w:pPr>
  </w:style>
  <w:style w:type="paragraph" w:customStyle="1" w:styleId="Coverheadingsingleline">
    <w:name w:val="Cover heading single line"/>
    <w:basedOn w:val="Coverheading"/>
    <w:rsid w:val="00492F51"/>
    <w:rPr>
      <w:sz w:val="76"/>
    </w:rPr>
  </w:style>
  <w:style w:type="paragraph" w:customStyle="1" w:styleId="NumtextFigurecaption">
    <w:name w:val="Num text: Figure caption"/>
    <w:basedOn w:val="Normal"/>
    <w:next w:val="Numtext1-Bodytextlevel1"/>
    <w:rsid w:val="00492F51"/>
    <w:pPr>
      <w:numPr>
        <w:numId w:val="10"/>
      </w:numPr>
      <w:spacing w:before="80" w:after="180"/>
    </w:pPr>
  </w:style>
  <w:style w:type="paragraph" w:customStyle="1" w:styleId="Numtexta-Bodytextlevel2">
    <w:name w:val="Num text: (a) - Body text level 2"/>
    <w:basedOn w:val="Normal"/>
    <w:rsid w:val="000B6C09"/>
    <w:pPr>
      <w:numPr>
        <w:ilvl w:val="2"/>
        <w:numId w:val="8"/>
      </w:numPr>
      <w:tabs>
        <w:tab w:val="clear" w:pos="1134"/>
        <w:tab w:val="left" w:pos="851"/>
      </w:tabs>
    </w:pPr>
  </w:style>
  <w:style w:type="paragraph" w:customStyle="1" w:styleId="NumtextBullet1">
    <w:name w:val="Num text: Bullet 1"/>
    <w:basedOn w:val="Normal"/>
    <w:rsid w:val="00492F51"/>
    <w:pPr>
      <w:numPr>
        <w:numId w:val="9"/>
      </w:numPr>
      <w:spacing w:after="80"/>
    </w:pPr>
  </w:style>
  <w:style w:type="paragraph" w:customStyle="1" w:styleId="NumtextBullet2">
    <w:name w:val="Num text: Bullet 2"/>
    <w:basedOn w:val="Normal"/>
    <w:rsid w:val="00492F51"/>
    <w:pPr>
      <w:numPr>
        <w:ilvl w:val="1"/>
        <w:numId w:val="9"/>
      </w:numPr>
      <w:spacing w:after="80"/>
    </w:pPr>
    <w:rPr>
      <w:szCs w:val="24"/>
    </w:rPr>
  </w:style>
  <w:style w:type="paragraph" w:customStyle="1" w:styleId="Question">
    <w:name w:val="Question"/>
    <w:basedOn w:val="Normal"/>
    <w:rsid w:val="00270FAF"/>
    <w:pPr>
      <w:numPr>
        <w:numId w:val="19"/>
      </w:numPr>
    </w:pPr>
  </w:style>
  <w:style w:type="paragraph" w:customStyle="1" w:styleId="NumtextSourceinformation">
    <w:name w:val="Num text: Source information"/>
    <w:rsid w:val="00492F51"/>
    <w:pPr>
      <w:spacing w:before="80"/>
      <w:ind w:left="1162" w:hanging="170"/>
    </w:pPr>
    <w:rPr>
      <w:rFonts w:ascii="Arial" w:hAnsi="Arial"/>
      <w:sz w:val="18"/>
      <w:lang w:val="en-NZ"/>
    </w:rPr>
  </w:style>
  <w:style w:type="paragraph" w:customStyle="1" w:styleId="NumtextTablenotes">
    <w:name w:val="Num text: Table notes"/>
    <w:basedOn w:val="Normal"/>
    <w:rsid w:val="00492F51"/>
    <w:pPr>
      <w:spacing w:before="80"/>
      <w:ind w:left="992"/>
    </w:pPr>
    <w:rPr>
      <w:rFonts w:ascii="Arial" w:hAnsi="Arial"/>
      <w:bCs/>
      <w:sz w:val="18"/>
    </w:rPr>
  </w:style>
  <w:style w:type="paragraph" w:customStyle="1" w:styleId="Numtext1-Bodytext">
    <w:name w:val="Num text: 1. - Body text"/>
    <w:basedOn w:val="Normal"/>
    <w:rsid w:val="00B55A86"/>
    <w:rPr>
      <w:szCs w:val="24"/>
    </w:rPr>
  </w:style>
  <w:style w:type="paragraph" w:customStyle="1" w:styleId="Whitespace">
    <w:name w:val="White space"/>
    <w:basedOn w:val="Normal"/>
    <w:rsid w:val="00492F51"/>
    <w:pPr>
      <w:spacing w:after="60" w:line="240" w:lineRule="auto"/>
    </w:pPr>
    <w:rPr>
      <w:sz w:val="12"/>
      <w:szCs w:val="12"/>
    </w:rPr>
  </w:style>
  <w:style w:type="paragraph" w:styleId="PlainText">
    <w:name w:val="Plain Text"/>
    <w:basedOn w:val="Normal"/>
    <w:semiHidden/>
    <w:rsid w:val="00492F51"/>
    <w:rPr>
      <w:rFonts w:ascii="Courier New" w:hAnsi="Courier New" w:cs="Courier New"/>
    </w:rPr>
  </w:style>
  <w:style w:type="paragraph" w:styleId="Salutation">
    <w:name w:val="Salutation"/>
    <w:basedOn w:val="Normal"/>
    <w:next w:val="Normal"/>
    <w:semiHidden/>
    <w:rsid w:val="00492F51"/>
  </w:style>
  <w:style w:type="table" w:styleId="Table3Deffects1">
    <w:name w:val="Table 3D effects 1"/>
    <w:basedOn w:val="TableNormal"/>
    <w:semiHidden/>
    <w:rsid w:val="00492F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F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F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F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F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F5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F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F5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F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F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bodyheading">
    <w:name w:val="Table - body heading"/>
    <w:basedOn w:val="Normal"/>
    <w:next w:val="Table-bodytext"/>
    <w:rsid w:val="00492F51"/>
    <w:pPr>
      <w:spacing w:before="170" w:after="80" w:line="190" w:lineRule="atLeast"/>
    </w:pPr>
    <w:rPr>
      <w:b/>
      <w:szCs w:val="24"/>
    </w:rPr>
  </w:style>
  <w:style w:type="table" w:styleId="TableColumns1">
    <w:name w:val="Table Columns 1"/>
    <w:basedOn w:val="TableNormal"/>
    <w:semiHidden/>
    <w:rsid w:val="00492F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F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F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F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F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F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F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F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F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F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F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F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F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F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F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F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F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F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F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F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uiPriority w:val="99"/>
    <w:rsid w:val="002F26BC"/>
    <w:pPr>
      <w:tabs>
        <w:tab w:val="right" w:leader="dot" w:pos="7002"/>
      </w:tabs>
      <w:spacing w:after="40"/>
      <w:ind w:right="284"/>
    </w:pPr>
  </w:style>
  <w:style w:type="table" w:styleId="TableProfessional">
    <w:name w:val="Table Professional"/>
    <w:basedOn w:val="TableNormal"/>
    <w:semiHidden/>
    <w:rsid w:val="00492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F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F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F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F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F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F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F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F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92F51"/>
    <w:pPr>
      <w:spacing w:before="120"/>
    </w:pPr>
    <w:rPr>
      <w:rFonts w:cs="Arial"/>
      <w:b/>
      <w:bCs/>
      <w:sz w:val="24"/>
    </w:rPr>
  </w:style>
  <w:style w:type="paragraph" w:customStyle="1" w:styleId="NumtextTablecaption">
    <w:name w:val="Num text: Table caption"/>
    <w:basedOn w:val="Normal"/>
    <w:next w:val="Numtext1-Bodytextlevel1"/>
    <w:rsid w:val="00492F51"/>
    <w:pPr>
      <w:numPr>
        <w:numId w:val="12"/>
      </w:numPr>
      <w:spacing w:before="80" w:after="180"/>
    </w:pPr>
  </w:style>
  <w:style w:type="paragraph" w:customStyle="1" w:styleId="UnnumtextFigurecaption">
    <w:name w:val="Unnum text: Figure caption"/>
    <w:basedOn w:val="Normal"/>
    <w:next w:val="UnnumtextBodytext"/>
    <w:rsid w:val="00492F51"/>
    <w:pPr>
      <w:numPr>
        <w:numId w:val="16"/>
      </w:numPr>
      <w:spacing w:before="80" w:after="180"/>
    </w:pPr>
  </w:style>
  <w:style w:type="paragraph" w:customStyle="1" w:styleId="UnnumtextBullet1">
    <w:name w:val="Unnum text: Bullet 1"/>
    <w:basedOn w:val="Normal"/>
    <w:rsid w:val="00492F51"/>
    <w:pPr>
      <w:numPr>
        <w:numId w:val="15"/>
      </w:numPr>
      <w:spacing w:before="80" w:after="0"/>
    </w:pPr>
  </w:style>
  <w:style w:type="paragraph" w:customStyle="1" w:styleId="UnnumtextBullet2">
    <w:name w:val="Unnum text: Bullet 2"/>
    <w:basedOn w:val="Normal"/>
    <w:link w:val="UnnumtextBullet2CharChar"/>
    <w:rsid w:val="00723850"/>
    <w:pPr>
      <w:numPr>
        <w:ilvl w:val="1"/>
        <w:numId w:val="15"/>
      </w:numPr>
      <w:spacing w:before="80" w:after="0"/>
      <w:ind w:left="850" w:hanging="425"/>
    </w:pPr>
  </w:style>
  <w:style w:type="paragraph" w:customStyle="1" w:styleId="Sourceinformation">
    <w:name w:val="Source information"/>
    <w:basedOn w:val="Normal"/>
    <w:rsid w:val="00977F8C"/>
    <w:pPr>
      <w:keepNext/>
      <w:spacing w:after="80" w:line="240" w:lineRule="auto"/>
    </w:pPr>
  </w:style>
  <w:style w:type="paragraph" w:styleId="BodyTextIndent">
    <w:name w:val="Body Text Indent"/>
    <w:basedOn w:val="Normal"/>
    <w:link w:val="BodyTextIndentChar"/>
    <w:semiHidden/>
    <w:rsid w:val="00492F51"/>
    <w:pPr>
      <w:spacing w:after="120"/>
      <w:ind w:left="283"/>
    </w:pPr>
  </w:style>
  <w:style w:type="paragraph" w:styleId="E-mailSignature">
    <w:name w:val="E-mail Signature"/>
    <w:basedOn w:val="Normal"/>
    <w:semiHidden/>
    <w:rsid w:val="00492F51"/>
  </w:style>
  <w:style w:type="character" w:styleId="Emphasis">
    <w:name w:val="Emphasis"/>
    <w:basedOn w:val="DefaultParagraphFont"/>
    <w:semiHidden/>
    <w:rsid w:val="00492F51"/>
    <w:rPr>
      <w:i/>
      <w:iCs/>
    </w:rPr>
  </w:style>
  <w:style w:type="character" w:styleId="HTMLAcronym">
    <w:name w:val="HTML Acronym"/>
    <w:basedOn w:val="DefaultParagraphFont"/>
    <w:semiHidden/>
    <w:rsid w:val="00492F51"/>
  </w:style>
  <w:style w:type="paragraph" w:styleId="HTMLAddress">
    <w:name w:val="HTML Address"/>
    <w:basedOn w:val="Normal"/>
    <w:semiHidden/>
    <w:rsid w:val="00492F51"/>
    <w:rPr>
      <w:i/>
      <w:iCs/>
    </w:rPr>
  </w:style>
  <w:style w:type="character" w:styleId="HTMLCite">
    <w:name w:val="HTML Cite"/>
    <w:basedOn w:val="DefaultParagraphFont"/>
    <w:semiHidden/>
    <w:rsid w:val="00492F51"/>
    <w:rPr>
      <w:i/>
      <w:iCs/>
    </w:rPr>
  </w:style>
  <w:style w:type="character" w:styleId="HTMLCode">
    <w:name w:val="HTML Code"/>
    <w:basedOn w:val="DefaultParagraphFont"/>
    <w:semiHidden/>
    <w:rsid w:val="00492F51"/>
    <w:rPr>
      <w:rFonts w:ascii="Courier New" w:hAnsi="Courier New" w:cs="Courier New"/>
      <w:sz w:val="20"/>
      <w:szCs w:val="20"/>
    </w:rPr>
  </w:style>
  <w:style w:type="character" w:styleId="HTMLDefinition">
    <w:name w:val="HTML Definition"/>
    <w:basedOn w:val="DefaultParagraphFont"/>
    <w:semiHidden/>
    <w:rsid w:val="00492F51"/>
    <w:rPr>
      <w:i/>
      <w:iCs/>
    </w:rPr>
  </w:style>
  <w:style w:type="character" w:styleId="HTMLKeyboard">
    <w:name w:val="HTML Keyboard"/>
    <w:basedOn w:val="DefaultParagraphFont"/>
    <w:semiHidden/>
    <w:rsid w:val="00492F51"/>
    <w:rPr>
      <w:rFonts w:ascii="Courier New" w:hAnsi="Courier New" w:cs="Courier New"/>
      <w:sz w:val="20"/>
      <w:szCs w:val="20"/>
    </w:rPr>
  </w:style>
  <w:style w:type="paragraph" w:styleId="HTMLPreformatted">
    <w:name w:val="HTML Preformatted"/>
    <w:basedOn w:val="Normal"/>
    <w:semiHidden/>
    <w:rsid w:val="00492F51"/>
    <w:rPr>
      <w:rFonts w:ascii="Courier New" w:hAnsi="Courier New" w:cs="Courier New"/>
    </w:rPr>
  </w:style>
  <w:style w:type="character" w:styleId="HTMLSample">
    <w:name w:val="HTML Sample"/>
    <w:basedOn w:val="DefaultParagraphFont"/>
    <w:semiHidden/>
    <w:rsid w:val="00492F51"/>
    <w:rPr>
      <w:rFonts w:ascii="Courier New" w:hAnsi="Courier New" w:cs="Courier New"/>
    </w:rPr>
  </w:style>
  <w:style w:type="character" w:styleId="HTMLTypewriter">
    <w:name w:val="HTML Typewriter"/>
    <w:basedOn w:val="DefaultParagraphFont"/>
    <w:semiHidden/>
    <w:rsid w:val="00492F51"/>
    <w:rPr>
      <w:rFonts w:ascii="Courier New" w:hAnsi="Courier New" w:cs="Courier New"/>
      <w:sz w:val="20"/>
      <w:szCs w:val="20"/>
    </w:rPr>
  </w:style>
  <w:style w:type="character" w:styleId="HTMLVariable">
    <w:name w:val="HTML Variable"/>
    <w:basedOn w:val="DefaultParagraphFont"/>
    <w:semiHidden/>
    <w:rsid w:val="00492F51"/>
    <w:rPr>
      <w:i/>
      <w:iCs/>
    </w:rPr>
  </w:style>
  <w:style w:type="paragraph" w:customStyle="1" w:styleId="Instructions">
    <w:name w:val="Instructions"/>
    <w:basedOn w:val="Normal"/>
    <w:next w:val="UnnumtextBodytext"/>
    <w:rsid w:val="003A5A47"/>
    <w:pPr>
      <w:spacing w:after="240" w:line="255" w:lineRule="atLeast"/>
    </w:pPr>
    <w:rPr>
      <w:color w:val="0000FF"/>
      <w:szCs w:val="24"/>
    </w:rPr>
  </w:style>
  <w:style w:type="paragraph" w:customStyle="1" w:styleId="NumtextIndent1">
    <w:name w:val="Num text:  Indent 1"/>
    <w:basedOn w:val="Normal"/>
    <w:rsid w:val="00A5001E"/>
    <w:pPr>
      <w:numPr>
        <w:numId w:val="11"/>
      </w:numPr>
      <w:ind w:left="425"/>
    </w:pPr>
  </w:style>
  <w:style w:type="paragraph" w:customStyle="1" w:styleId="Numtexti-Bodytextlevel3">
    <w:name w:val="Num text: (i) - Body text level 3"/>
    <w:basedOn w:val="Normal"/>
    <w:rsid w:val="000B6C09"/>
    <w:pPr>
      <w:numPr>
        <w:ilvl w:val="3"/>
        <w:numId w:val="8"/>
      </w:numPr>
      <w:tabs>
        <w:tab w:val="clear" w:pos="1588"/>
        <w:tab w:val="left" w:pos="1276"/>
      </w:tabs>
    </w:pPr>
  </w:style>
  <w:style w:type="paragraph" w:customStyle="1" w:styleId="Numtexta-Bodytextlevel4">
    <w:name w:val="Num text: a) - Body text level 4"/>
    <w:basedOn w:val="Numtexti-Bodytextlevel3"/>
    <w:rsid w:val="00492F51"/>
    <w:pPr>
      <w:numPr>
        <w:ilvl w:val="0"/>
        <w:numId w:val="0"/>
      </w:numPr>
    </w:pPr>
  </w:style>
  <w:style w:type="paragraph" w:customStyle="1" w:styleId="Numtexti-Bodytextlevel5">
    <w:name w:val="Num text: i) - Body text level 5"/>
    <w:basedOn w:val="Normal"/>
    <w:rsid w:val="00492F51"/>
    <w:pPr>
      <w:spacing w:before="60" w:after="180"/>
    </w:pPr>
  </w:style>
  <w:style w:type="paragraph" w:customStyle="1" w:styleId="Headingtext">
    <w:name w:val="Heading text"/>
    <w:basedOn w:val="Normal"/>
    <w:next w:val="Normal"/>
    <w:semiHidden/>
    <w:rsid w:val="00492F51"/>
    <w:pPr>
      <w:keepNext/>
      <w:spacing w:before="160"/>
    </w:pPr>
    <w:rPr>
      <w:b/>
      <w:sz w:val="21"/>
    </w:rPr>
  </w:style>
  <w:style w:type="paragraph" w:customStyle="1" w:styleId="Heading-nontableofcontents">
    <w:name w:val="Heading - non table of contents"/>
    <w:basedOn w:val="Normalcolour"/>
    <w:next w:val="UnnumtextBodytext"/>
    <w:rsid w:val="00BF4400"/>
    <w:pPr>
      <w:keepNext/>
      <w:pageBreakBefore/>
      <w:pBdr>
        <w:bottom w:val="single" w:sz="4" w:space="7" w:color="7B5E05"/>
      </w:pBdr>
      <w:spacing w:after="280" w:line="480" w:lineRule="atLeast"/>
    </w:pPr>
    <w:rPr>
      <w:b/>
      <w:sz w:val="48"/>
    </w:rPr>
  </w:style>
  <w:style w:type="paragraph" w:customStyle="1" w:styleId="ListStartNumberedheadings">
    <w:name w:val="ListStart Numbered headings"/>
    <w:next w:val="Normal"/>
    <w:rsid w:val="00713611"/>
    <w:pPr>
      <w:keepNext/>
      <w:keepLines/>
      <w:framePr w:wrap="around" w:vAnchor="text" w:hAnchor="text" w:x="-565" w:y="1"/>
      <w:widowControl w:val="0"/>
      <w:numPr>
        <w:numId w:val="22"/>
      </w:numPr>
    </w:pPr>
    <w:rPr>
      <w:color w:val="800080"/>
      <w:sz w:val="18"/>
      <w:lang w:val="en-NZ" w:eastAsia="en-NZ"/>
    </w:rPr>
  </w:style>
  <w:style w:type="paragraph" w:customStyle="1" w:styleId="Table-headingrow1">
    <w:name w:val="Table - heading (row 1)"/>
    <w:basedOn w:val="Normal"/>
    <w:rsid w:val="00492F51"/>
    <w:pPr>
      <w:spacing w:after="0"/>
    </w:pPr>
    <w:rPr>
      <w:b/>
      <w:color w:val="FFFFFF"/>
    </w:rPr>
  </w:style>
  <w:style w:type="paragraph" w:customStyle="1" w:styleId="UnnumtextBullet3">
    <w:name w:val="Unnum text: Bullet 3"/>
    <w:basedOn w:val="Normal"/>
    <w:rsid w:val="00492F51"/>
    <w:pPr>
      <w:numPr>
        <w:ilvl w:val="2"/>
        <w:numId w:val="15"/>
      </w:numPr>
      <w:spacing w:before="60" w:after="60"/>
    </w:pPr>
  </w:style>
  <w:style w:type="paragraph" w:customStyle="1" w:styleId="NumtextBullet3">
    <w:name w:val="Num text: Bullet 3"/>
    <w:basedOn w:val="Normal"/>
    <w:rsid w:val="00492F51"/>
    <w:pPr>
      <w:numPr>
        <w:ilvl w:val="2"/>
        <w:numId w:val="9"/>
      </w:numPr>
      <w:spacing w:before="60" w:after="60"/>
    </w:pPr>
  </w:style>
  <w:style w:type="table" w:customStyle="1" w:styleId="TableSapereGrid">
    <w:name w:val="Table Sapere Grid"/>
    <w:basedOn w:val="TableGrid"/>
    <w:rsid w:val="006C2188"/>
    <w:tblPr>
      <w:tblInd w:w="108" w:type="dxa"/>
      <w:tblBorders>
        <w:top w:val="single" w:sz="4" w:space="0" w:color="7B5E05"/>
        <w:left w:val="none" w:sz="0" w:space="0" w:color="auto"/>
        <w:bottom w:val="single" w:sz="4" w:space="0" w:color="7B5E05"/>
        <w:right w:val="none" w:sz="0" w:space="0" w:color="auto"/>
        <w:insideH w:val="single" w:sz="4" w:space="0" w:color="7B5E05"/>
        <w:insideV w:val="single" w:sz="4" w:space="0" w:color="7B5E05"/>
      </w:tblBorders>
      <w:tblCellMar>
        <w:top w:w="113" w:type="dxa"/>
        <w:bottom w:w="113"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Heading-tableoftables">
    <w:name w:val="Heading - table of tables"/>
    <w:basedOn w:val="Normalcolour"/>
    <w:next w:val="UnnumtextBodytext"/>
    <w:rsid w:val="008613AF"/>
    <w:pPr>
      <w:keepNext/>
      <w:spacing w:before="260" w:after="40" w:line="240" w:lineRule="auto"/>
    </w:pPr>
    <w:rPr>
      <w:b/>
      <w:color w:val="000000"/>
      <w:sz w:val="28"/>
    </w:rPr>
  </w:style>
  <w:style w:type="paragraph" w:customStyle="1" w:styleId="Heading-tableoffigures">
    <w:name w:val="Heading - table of figures"/>
    <w:basedOn w:val="Normalcolour"/>
    <w:next w:val="UnnumtextBodytext"/>
    <w:rsid w:val="008613AF"/>
    <w:pPr>
      <w:keepNext/>
      <w:spacing w:before="260" w:after="40" w:line="240" w:lineRule="auto"/>
    </w:pPr>
    <w:rPr>
      <w:b/>
      <w:color w:val="000000"/>
      <w:sz w:val="28"/>
    </w:rPr>
  </w:style>
  <w:style w:type="paragraph" w:customStyle="1" w:styleId="UnnumtextTablecaption">
    <w:name w:val="Unnum text: Table caption"/>
    <w:basedOn w:val="Normal"/>
    <w:next w:val="UnnumtextBodytext"/>
    <w:rsid w:val="00492F51"/>
    <w:pPr>
      <w:numPr>
        <w:numId w:val="17"/>
      </w:numPr>
      <w:spacing w:before="80" w:after="180"/>
    </w:pPr>
  </w:style>
  <w:style w:type="paragraph" w:customStyle="1" w:styleId="Table-bodytext">
    <w:name w:val="Table - body text"/>
    <w:basedOn w:val="Normal"/>
    <w:rsid w:val="00492F51"/>
    <w:pPr>
      <w:spacing w:after="120" w:line="190" w:lineRule="atLeast"/>
    </w:pPr>
  </w:style>
  <w:style w:type="paragraph" w:customStyle="1" w:styleId="NumtextFigurenotes">
    <w:name w:val="Num text: Figure notes"/>
    <w:basedOn w:val="Normal"/>
    <w:rsid w:val="00492F51"/>
    <w:pPr>
      <w:spacing w:before="80" w:after="0"/>
      <w:ind w:left="992"/>
    </w:pPr>
    <w:rPr>
      <w:sz w:val="18"/>
    </w:rPr>
  </w:style>
  <w:style w:type="paragraph" w:customStyle="1" w:styleId="Numberedparagraphs-1">
    <w:name w:val="Numbered paragraphs - 1."/>
    <w:basedOn w:val="Normal"/>
    <w:rsid w:val="00B121A2"/>
    <w:pPr>
      <w:numPr>
        <w:ilvl w:val="1"/>
        <w:numId w:val="21"/>
      </w:numPr>
      <w:spacing w:before="60" w:after="120" w:line="190" w:lineRule="atLeast"/>
    </w:pPr>
  </w:style>
  <w:style w:type="paragraph" w:customStyle="1" w:styleId="Numberedparagraphs-a">
    <w:name w:val="Numbered paragraphs - a)"/>
    <w:basedOn w:val="Normal"/>
    <w:rsid w:val="00B121A2"/>
    <w:pPr>
      <w:numPr>
        <w:ilvl w:val="2"/>
        <w:numId w:val="21"/>
      </w:numPr>
      <w:spacing w:before="60" w:after="120" w:line="190" w:lineRule="atLeast"/>
      <w:ind w:left="850" w:hanging="425"/>
    </w:pPr>
  </w:style>
  <w:style w:type="paragraph" w:customStyle="1" w:styleId="Numberedparagraphs-i">
    <w:name w:val="Numbered paragraphs - i)"/>
    <w:basedOn w:val="Normal"/>
    <w:rsid w:val="00B121A2"/>
    <w:pPr>
      <w:numPr>
        <w:ilvl w:val="3"/>
        <w:numId w:val="21"/>
      </w:numPr>
      <w:spacing w:before="60" w:after="120" w:line="190" w:lineRule="atLeast"/>
    </w:pPr>
  </w:style>
  <w:style w:type="paragraph" w:customStyle="1" w:styleId="Objectplaceholder">
    <w:name w:val="Object placeholder"/>
    <w:basedOn w:val="Normal"/>
    <w:rsid w:val="005A594B"/>
    <w:pPr>
      <w:keepNext/>
      <w:spacing w:before="80" w:after="80" w:line="240" w:lineRule="auto"/>
    </w:pPr>
  </w:style>
  <w:style w:type="character" w:styleId="PlaceholderText">
    <w:name w:val="Placeholder Text"/>
    <w:basedOn w:val="DefaultParagraphFont"/>
    <w:uiPriority w:val="99"/>
    <w:semiHidden/>
    <w:rsid w:val="001E3AB9"/>
    <w:rPr>
      <w:color w:val="808080"/>
    </w:rPr>
  </w:style>
  <w:style w:type="paragraph" w:customStyle="1" w:styleId="ApxHeading5">
    <w:name w:val="Apx Heading 5"/>
    <w:basedOn w:val="Normal"/>
    <w:next w:val="UnnumtextBodytext"/>
    <w:rsid w:val="00682E6B"/>
    <w:pPr>
      <w:keepNext/>
      <w:spacing w:before="120" w:after="0"/>
      <w:outlineLvl w:val="8"/>
    </w:pPr>
    <w:rPr>
      <w:b/>
      <w:bCs/>
      <w:szCs w:val="24"/>
    </w:rPr>
  </w:style>
  <w:style w:type="paragraph" w:customStyle="1" w:styleId="DraftWatermark">
    <w:name w:val="DraftWatermark"/>
    <w:rsid w:val="00954C88"/>
    <w:pPr>
      <w:jc w:val="right"/>
    </w:pPr>
    <w:rPr>
      <w:rFonts w:ascii="Arial" w:hAnsi="Arial"/>
      <w:i/>
      <w:sz w:val="18"/>
      <w:lang w:val="en-NZ" w:eastAsia="en-NZ"/>
    </w:rPr>
  </w:style>
  <w:style w:type="paragraph" w:customStyle="1" w:styleId="Tablebullet1atmargin">
    <w:name w:val="Table bullet 1 (at margin)"/>
    <w:basedOn w:val="Table-bodytext"/>
    <w:rsid w:val="009A5A40"/>
    <w:pPr>
      <w:numPr>
        <w:numId w:val="24"/>
      </w:numPr>
      <w:ind w:left="425" w:hanging="425"/>
    </w:pPr>
  </w:style>
  <w:style w:type="paragraph" w:customStyle="1" w:styleId="Tablebullet2atmargin">
    <w:name w:val="Table bullet 2 (at margin)"/>
    <w:basedOn w:val="Table-bodytext"/>
    <w:rsid w:val="009A5A40"/>
    <w:pPr>
      <w:numPr>
        <w:ilvl w:val="1"/>
        <w:numId w:val="24"/>
      </w:numPr>
      <w:ind w:left="850"/>
    </w:pPr>
  </w:style>
  <w:style w:type="paragraph" w:customStyle="1" w:styleId="Tablebullet1afternumbering">
    <w:name w:val="Table bullet 1 (after numbering)"/>
    <w:basedOn w:val="Table-bodytext"/>
    <w:rsid w:val="009A5A40"/>
    <w:pPr>
      <w:numPr>
        <w:numId w:val="23"/>
      </w:numPr>
      <w:ind w:left="850" w:hanging="425"/>
    </w:pPr>
  </w:style>
  <w:style w:type="paragraph" w:customStyle="1" w:styleId="Tablebullet2afternumbering">
    <w:name w:val="Table bullet 2 (after numbering)"/>
    <w:basedOn w:val="Tablebullet1afternumbering"/>
    <w:rsid w:val="009A5A40"/>
    <w:pPr>
      <w:numPr>
        <w:ilvl w:val="1"/>
      </w:numPr>
    </w:pPr>
  </w:style>
  <w:style w:type="paragraph" w:customStyle="1" w:styleId="Listtextunformatted">
    <w:name w:val="List text (unformatted)"/>
    <w:basedOn w:val="Normal"/>
    <w:rsid w:val="005A594B"/>
    <w:pPr>
      <w:spacing w:after="0" w:line="240" w:lineRule="auto"/>
    </w:pPr>
    <w:rPr>
      <w:rFonts w:ascii="Arial" w:hAnsi="Arial"/>
    </w:rPr>
  </w:style>
  <w:style w:type="paragraph" w:customStyle="1" w:styleId="Objectplaceholderpicture">
    <w:name w:val="Object placeholder picture"/>
    <w:basedOn w:val="Objectplaceholder"/>
    <w:rsid w:val="005A594B"/>
    <w:pPr>
      <w:ind w:left="-28"/>
    </w:pPr>
  </w:style>
  <w:style w:type="character" w:customStyle="1" w:styleId="BodyTextChar">
    <w:name w:val="Body Text Char"/>
    <w:basedOn w:val="DefaultParagraphFont"/>
    <w:link w:val="BodyText"/>
    <w:semiHidden/>
    <w:rsid w:val="0069135A"/>
  </w:style>
  <w:style w:type="character" w:customStyle="1" w:styleId="BodyTextIndentChar">
    <w:name w:val="Body Text Indent Char"/>
    <w:basedOn w:val="DefaultParagraphFont"/>
    <w:link w:val="BodyTextIndent"/>
    <w:semiHidden/>
    <w:rsid w:val="00BF4400"/>
  </w:style>
  <w:style w:type="character" w:customStyle="1" w:styleId="Heading2Char">
    <w:name w:val="Heading 2 Char"/>
    <w:basedOn w:val="DefaultParagraphFont"/>
    <w:link w:val="Heading2"/>
    <w:rsid w:val="001E3354"/>
    <w:rPr>
      <w:rFonts w:cs="Arial"/>
      <w:b/>
      <w:bCs/>
      <w:iCs/>
      <w:color w:val="7B5E05"/>
      <w:sz w:val="40"/>
      <w:szCs w:val="28"/>
      <w:lang w:val="en-NZ"/>
    </w:rPr>
  </w:style>
  <w:style w:type="paragraph" w:customStyle="1" w:styleId="Default">
    <w:name w:val="Default"/>
    <w:rsid w:val="000D6AEC"/>
    <w:pPr>
      <w:autoSpaceDE w:val="0"/>
      <w:autoSpaceDN w:val="0"/>
      <w:adjustRightInd w:val="0"/>
    </w:pPr>
    <w:rPr>
      <w:rFonts w:cs="Garamond"/>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6263">
      <w:bodyDiv w:val="1"/>
      <w:marLeft w:val="0"/>
      <w:marRight w:val="0"/>
      <w:marTop w:val="0"/>
      <w:marBottom w:val="0"/>
      <w:divBdr>
        <w:top w:val="none" w:sz="0" w:space="0" w:color="auto"/>
        <w:left w:val="none" w:sz="0" w:space="0" w:color="auto"/>
        <w:bottom w:val="none" w:sz="0" w:space="0" w:color="auto"/>
        <w:right w:val="none" w:sz="0" w:space="0" w:color="auto"/>
      </w:divBdr>
    </w:div>
    <w:div w:id="15384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8.pn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customXml" Target="../customXml/item3.xml"/><Relationship Id="rId8"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Report%20Landscape%20Double-sided%20-%20Unnumbered%20paragrap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08ab38630d09b0acba18a3fe0b699cfd">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d203b54a92d9bbf56afa60a7d84a73d4"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E4EF43-50DC-482A-BFF4-57F11ACE0398}">
  <ds:schemaRefs>
    <ds:schemaRef ds:uri="http://schemas.openxmlformats.org/officeDocument/2006/bibliography"/>
  </ds:schemaRefs>
</ds:datastoreItem>
</file>

<file path=customXml/itemProps2.xml><?xml version="1.0" encoding="utf-8"?>
<ds:datastoreItem xmlns:ds="http://schemas.openxmlformats.org/officeDocument/2006/customXml" ds:itemID="{72D19893-B86A-4EC7-B9CC-C1F6D662D535}"/>
</file>

<file path=customXml/itemProps3.xml><?xml version="1.0" encoding="utf-8"?>
<ds:datastoreItem xmlns:ds="http://schemas.openxmlformats.org/officeDocument/2006/customXml" ds:itemID="{3DEB5B9D-5A61-4669-8D18-27B24CAAF692}"/>
</file>

<file path=customXml/itemProps4.xml><?xml version="1.0" encoding="utf-8"?>
<ds:datastoreItem xmlns:ds="http://schemas.openxmlformats.org/officeDocument/2006/customXml" ds:itemID="{1C019FF2-B539-41D5-B5B3-B7D098AC7526}"/>
</file>

<file path=docProps/app.xml><?xml version="1.0" encoding="utf-8"?>
<Properties xmlns="http://schemas.openxmlformats.org/officeDocument/2006/extended-properties" xmlns:vt="http://schemas.openxmlformats.org/officeDocument/2006/docPropsVTypes">
  <Template>Report Landscape Double-sided - Unnumbered paragraph</Template>
  <TotalTime>1</TotalTime>
  <Pages>13</Pages>
  <Words>2309</Words>
  <Characters>14623</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Resource impacts of ePortals for general practices - Summary</vt:lpstr>
    </vt:vector>
  </TitlesOfParts>
  <Company>Sapere Forensic Group</Company>
  <LinksUpToDate>false</LinksUpToDate>
  <CharactersWithSpaces>16899</CharactersWithSpaces>
  <SharedDoc>false</SharedDoc>
  <HLinks>
    <vt:vector size="282" baseType="variant">
      <vt:variant>
        <vt:i4>1048635</vt:i4>
      </vt:variant>
      <vt:variant>
        <vt:i4>296</vt:i4>
      </vt:variant>
      <vt:variant>
        <vt:i4>0</vt:i4>
      </vt:variant>
      <vt:variant>
        <vt:i4>5</vt:i4>
      </vt:variant>
      <vt:variant>
        <vt:lpwstr/>
      </vt:variant>
      <vt:variant>
        <vt:lpwstr>_Toc307075825</vt:lpwstr>
      </vt:variant>
      <vt:variant>
        <vt:i4>1048635</vt:i4>
      </vt:variant>
      <vt:variant>
        <vt:i4>290</vt:i4>
      </vt:variant>
      <vt:variant>
        <vt:i4>0</vt:i4>
      </vt:variant>
      <vt:variant>
        <vt:i4>5</vt:i4>
      </vt:variant>
      <vt:variant>
        <vt:lpwstr/>
      </vt:variant>
      <vt:variant>
        <vt:lpwstr>_Toc307075824</vt:lpwstr>
      </vt:variant>
      <vt:variant>
        <vt:i4>1048635</vt:i4>
      </vt:variant>
      <vt:variant>
        <vt:i4>284</vt:i4>
      </vt:variant>
      <vt:variant>
        <vt:i4>0</vt:i4>
      </vt:variant>
      <vt:variant>
        <vt:i4>5</vt:i4>
      </vt:variant>
      <vt:variant>
        <vt:lpwstr/>
      </vt:variant>
      <vt:variant>
        <vt:lpwstr>_Toc307075823</vt:lpwstr>
      </vt:variant>
      <vt:variant>
        <vt:i4>1048635</vt:i4>
      </vt:variant>
      <vt:variant>
        <vt:i4>278</vt:i4>
      </vt:variant>
      <vt:variant>
        <vt:i4>0</vt:i4>
      </vt:variant>
      <vt:variant>
        <vt:i4>5</vt:i4>
      </vt:variant>
      <vt:variant>
        <vt:lpwstr/>
      </vt:variant>
      <vt:variant>
        <vt:lpwstr>_Toc307075822</vt:lpwstr>
      </vt:variant>
      <vt:variant>
        <vt:i4>1048635</vt:i4>
      </vt:variant>
      <vt:variant>
        <vt:i4>269</vt:i4>
      </vt:variant>
      <vt:variant>
        <vt:i4>0</vt:i4>
      </vt:variant>
      <vt:variant>
        <vt:i4>5</vt:i4>
      </vt:variant>
      <vt:variant>
        <vt:lpwstr/>
      </vt:variant>
      <vt:variant>
        <vt:lpwstr>_Toc307075821</vt:lpwstr>
      </vt:variant>
      <vt:variant>
        <vt:i4>1048635</vt:i4>
      </vt:variant>
      <vt:variant>
        <vt:i4>263</vt:i4>
      </vt:variant>
      <vt:variant>
        <vt:i4>0</vt:i4>
      </vt:variant>
      <vt:variant>
        <vt:i4>5</vt:i4>
      </vt:variant>
      <vt:variant>
        <vt:lpwstr/>
      </vt:variant>
      <vt:variant>
        <vt:lpwstr>_Toc307075820</vt:lpwstr>
      </vt:variant>
      <vt:variant>
        <vt:i4>1245243</vt:i4>
      </vt:variant>
      <vt:variant>
        <vt:i4>257</vt:i4>
      </vt:variant>
      <vt:variant>
        <vt:i4>0</vt:i4>
      </vt:variant>
      <vt:variant>
        <vt:i4>5</vt:i4>
      </vt:variant>
      <vt:variant>
        <vt:lpwstr/>
      </vt:variant>
      <vt:variant>
        <vt:lpwstr>_Toc307075819</vt:lpwstr>
      </vt:variant>
      <vt:variant>
        <vt:i4>1245243</vt:i4>
      </vt:variant>
      <vt:variant>
        <vt:i4>251</vt:i4>
      </vt:variant>
      <vt:variant>
        <vt:i4>0</vt:i4>
      </vt:variant>
      <vt:variant>
        <vt:i4>5</vt:i4>
      </vt:variant>
      <vt:variant>
        <vt:lpwstr/>
      </vt:variant>
      <vt:variant>
        <vt:lpwstr>_Toc307075818</vt:lpwstr>
      </vt:variant>
      <vt:variant>
        <vt:i4>1245243</vt:i4>
      </vt:variant>
      <vt:variant>
        <vt:i4>242</vt:i4>
      </vt:variant>
      <vt:variant>
        <vt:i4>0</vt:i4>
      </vt:variant>
      <vt:variant>
        <vt:i4>5</vt:i4>
      </vt:variant>
      <vt:variant>
        <vt:lpwstr/>
      </vt:variant>
      <vt:variant>
        <vt:lpwstr>_Toc307075817</vt:lpwstr>
      </vt:variant>
      <vt:variant>
        <vt:i4>1245243</vt:i4>
      </vt:variant>
      <vt:variant>
        <vt:i4>236</vt:i4>
      </vt:variant>
      <vt:variant>
        <vt:i4>0</vt:i4>
      </vt:variant>
      <vt:variant>
        <vt:i4>5</vt:i4>
      </vt:variant>
      <vt:variant>
        <vt:lpwstr/>
      </vt:variant>
      <vt:variant>
        <vt:lpwstr>_Toc307075816</vt:lpwstr>
      </vt:variant>
      <vt:variant>
        <vt:i4>1245243</vt:i4>
      </vt:variant>
      <vt:variant>
        <vt:i4>230</vt:i4>
      </vt:variant>
      <vt:variant>
        <vt:i4>0</vt:i4>
      </vt:variant>
      <vt:variant>
        <vt:i4>5</vt:i4>
      </vt:variant>
      <vt:variant>
        <vt:lpwstr/>
      </vt:variant>
      <vt:variant>
        <vt:lpwstr>_Toc307075815</vt:lpwstr>
      </vt:variant>
      <vt:variant>
        <vt:i4>1245243</vt:i4>
      </vt:variant>
      <vt:variant>
        <vt:i4>224</vt:i4>
      </vt:variant>
      <vt:variant>
        <vt:i4>0</vt:i4>
      </vt:variant>
      <vt:variant>
        <vt:i4>5</vt:i4>
      </vt:variant>
      <vt:variant>
        <vt:lpwstr/>
      </vt:variant>
      <vt:variant>
        <vt:lpwstr>_Toc307075814</vt:lpwstr>
      </vt:variant>
      <vt:variant>
        <vt:i4>1245243</vt:i4>
      </vt:variant>
      <vt:variant>
        <vt:i4>218</vt:i4>
      </vt:variant>
      <vt:variant>
        <vt:i4>0</vt:i4>
      </vt:variant>
      <vt:variant>
        <vt:i4>5</vt:i4>
      </vt:variant>
      <vt:variant>
        <vt:lpwstr/>
      </vt:variant>
      <vt:variant>
        <vt:lpwstr>_Toc307075813</vt:lpwstr>
      </vt:variant>
      <vt:variant>
        <vt:i4>1245243</vt:i4>
      </vt:variant>
      <vt:variant>
        <vt:i4>212</vt:i4>
      </vt:variant>
      <vt:variant>
        <vt:i4>0</vt:i4>
      </vt:variant>
      <vt:variant>
        <vt:i4>5</vt:i4>
      </vt:variant>
      <vt:variant>
        <vt:lpwstr/>
      </vt:variant>
      <vt:variant>
        <vt:lpwstr>_Toc307075812</vt:lpwstr>
      </vt:variant>
      <vt:variant>
        <vt:i4>1245243</vt:i4>
      </vt:variant>
      <vt:variant>
        <vt:i4>206</vt:i4>
      </vt:variant>
      <vt:variant>
        <vt:i4>0</vt:i4>
      </vt:variant>
      <vt:variant>
        <vt:i4>5</vt:i4>
      </vt:variant>
      <vt:variant>
        <vt:lpwstr/>
      </vt:variant>
      <vt:variant>
        <vt:lpwstr>_Toc307075811</vt:lpwstr>
      </vt:variant>
      <vt:variant>
        <vt:i4>1245243</vt:i4>
      </vt:variant>
      <vt:variant>
        <vt:i4>200</vt:i4>
      </vt:variant>
      <vt:variant>
        <vt:i4>0</vt:i4>
      </vt:variant>
      <vt:variant>
        <vt:i4>5</vt:i4>
      </vt:variant>
      <vt:variant>
        <vt:lpwstr/>
      </vt:variant>
      <vt:variant>
        <vt:lpwstr>_Toc307075810</vt:lpwstr>
      </vt:variant>
      <vt:variant>
        <vt:i4>1179707</vt:i4>
      </vt:variant>
      <vt:variant>
        <vt:i4>194</vt:i4>
      </vt:variant>
      <vt:variant>
        <vt:i4>0</vt:i4>
      </vt:variant>
      <vt:variant>
        <vt:i4>5</vt:i4>
      </vt:variant>
      <vt:variant>
        <vt:lpwstr/>
      </vt:variant>
      <vt:variant>
        <vt:lpwstr>_Toc307075809</vt:lpwstr>
      </vt:variant>
      <vt:variant>
        <vt:i4>1179707</vt:i4>
      </vt:variant>
      <vt:variant>
        <vt:i4>188</vt:i4>
      </vt:variant>
      <vt:variant>
        <vt:i4>0</vt:i4>
      </vt:variant>
      <vt:variant>
        <vt:i4>5</vt:i4>
      </vt:variant>
      <vt:variant>
        <vt:lpwstr/>
      </vt:variant>
      <vt:variant>
        <vt:lpwstr>_Toc307075808</vt:lpwstr>
      </vt:variant>
      <vt:variant>
        <vt:i4>1179707</vt:i4>
      </vt:variant>
      <vt:variant>
        <vt:i4>182</vt:i4>
      </vt:variant>
      <vt:variant>
        <vt:i4>0</vt:i4>
      </vt:variant>
      <vt:variant>
        <vt:i4>5</vt:i4>
      </vt:variant>
      <vt:variant>
        <vt:lpwstr/>
      </vt:variant>
      <vt:variant>
        <vt:lpwstr>_Toc307075807</vt:lpwstr>
      </vt:variant>
      <vt:variant>
        <vt:i4>1179707</vt:i4>
      </vt:variant>
      <vt:variant>
        <vt:i4>176</vt:i4>
      </vt:variant>
      <vt:variant>
        <vt:i4>0</vt:i4>
      </vt:variant>
      <vt:variant>
        <vt:i4>5</vt:i4>
      </vt:variant>
      <vt:variant>
        <vt:lpwstr/>
      </vt:variant>
      <vt:variant>
        <vt:lpwstr>_Toc307075806</vt:lpwstr>
      </vt:variant>
      <vt:variant>
        <vt:i4>1179707</vt:i4>
      </vt:variant>
      <vt:variant>
        <vt:i4>170</vt:i4>
      </vt:variant>
      <vt:variant>
        <vt:i4>0</vt:i4>
      </vt:variant>
      <vt:variant>
        <vt:i4>5</vt:i4>
      </vt:variant>
      <vt:variant>
        <vt:lpwstr/>
      </vt:variant>
      <vt:variant>
        <vt:lpwstr>_Toc307075805</vt:lpwstr>
      </vt:variant>
      <vt:variant>
        <vt:i4>1179707</vt:i4>
      </vt:variant>
      <vt:variant>
        <vt:i4>164</vt:i4>
      </vt:variant>
      <vt:variant>
        <vt:i4>0</vt:i4>
      </vt:variant>
      <vt:variant>
        <vt:i4>5</vt:i4>
      </vt:variant>
      <vt:variant>
        <vt:lpwstr/>
      </vt:variant>
      <vt:variant>
        <vt:lpwstr>_Toc307075804</vt:lpwstr>
      </vt:variant>
      <vt:variant>
        <vt:i4>1179707</vt:i4>
      </vt:variant>
      <vt:variant>
        <vt:i4>158</vt:i4>
      </vt:variant>
      <vt:variant>
        <vt:i4>0</vt:i4>
      </vt:variant>
      <vt:variant>
        <vt:i4>5</vt:i4>
      </vt:variant>
      <vt:variant>
        <vt:lpwstr/>
      </vt:variant>
      <vt:variant>
        <vt:lpwstr>_Toc307075803</vt:lpwstr>
      </vt:variant>
      <vt:variant>
        <vt:i4>1179707</vt:i4>
      </vt:variant>
      <vt:variant>
        <vt:i4>152</vt:i4>
      </vt:variant>
      <vt:variant>
        <vt:i4>0</vt:i4>
      </vt:variant>
      <vt:variant>
        <vt:i4>5</vt:i4>
      </vt:variant>
      <vt:variant>
        <vt:lpwstr/>
      </vt:variant>
      <vt:variant>
        <vt:lpwstr>_Toc307075802</vt:lpwstr>
      </vt:variant>
      <vt:variant>
        <vt:i4>1179707</vt:i4>
      </vt:variant>
      <vt:variant>
        <vt:i4>146</vt:i4>
      </vt:variant>
      <vt:variant>
        <vt:i4>0</vt:i4>
      </vt:variant>
      <vt:variant>
        <vt:i4>5</vt:i4>
      </vt:variant>
      <vt:variant>
        <vt:lpwstr/>
      </vt:variant>
      <vt:variant>
        <vt:lpwstr>_Toc307075801</vt:lpwstr>
      </vt:variant>
      <vt:variant>
        <vt:i4>1179707</vt:i4>
      </vt:variant>
      <vt:variant>
        <vt:i4>140</vt:i4>
      </vt:variant>
      <vt:variant>
        <vt:i4>0</vt:i4>
      </vt:variant>
      <vt:variant>
        <vt:i4>5</vt:i4>
      </vt:variant>
      <vt:variant>
        <vt:lpwstr/>
      </vt:variant>
      <vt:variant>
        <vt:lpwstr>_Toc307075800</vt:lpwstr>
      </vt:variant>
      <vt:variant>
        <vt:i4>1769524</vt:i4>
      </vt:variant>
      <vt:variant>
        <vt:i4>134</vt:i4>
      </vt:variant>
      <vt:variant>
        <vt:i4>0</vt:i4>
      </vt:variant>
      <vt:variant>
        <vt:i4>5</vt:i4>
      </vt:variant>
      <vt:variant>
        <vt:lpwstr/>
      </vt:variant>
      <vt:variant>
        <vt:lpwstr>_Toc307075799</vt:lpwstr>
      </vt:variant>
      <vt:variant>
        <vt:i4>1769524</vt:i4>
      </vt:variant>
      <vt:variant>
        <vt:i4>128</vt:i4>
      </vt:variant>
      <vt:variant>
        <vt:i4>0</vt:i4>
      </vt:variant>
      <vt:variant>
        <vt:i4>5</vt:i4>
      </vt:variant>
      <vt:variant>
        <vt:lpwstr/>
      </vt:variant>
      <vt:variant>
        <vt:lpwstr>_Toc307075798</vt:lpwstr>
      </vt:variant>
      <vt:variant>
        <vt:i4>1769524</vt:i4>
      </vt:variant>
      <vt:variant>
        <vt:i4>122</vt:i4>
      </vt:variant>
      <vt:variant>
        <vt:i4>0</vt:i4>
      </vt:variant>
      <vt:variant>
        <vt:i4>5</vt:i4>
      </vt:variant>
      <vt:variant>
        <vt:lpwstr/>
      </vt:variant>
      <vt:variant>
        <vt:lpwstr>_Toc307075797</vt:lpwstr>
      </vt:variant>
      <vt:variant>
        <vt:i4>1769524</vt:i4>
      </vt:variant>
      <vt:variant>
        <vt:i4>116</vt:i4>
      </vt:variant>
      <vt:variant>
        <vt:i4>0</vt:i4>
      </vt:variant>
      <vt:variant>
        <vt:i4>5</vt:i4>
      </vt:variant>
      <vt:variant>
        <vt:lpwstr/>
      </vt:variant>
      <vt:variant>
        <vt:lpwstr>_Toc307075796</vt:lpwstr>
      </vt:variant>
      <vt:variant>
        <vt:i4>1769524</vt:i4>
      </vt:variant>
      <vt:variant>
        <vt:i4>110</vt:i4>
      </vt:variant>
      <vt:variant>
        <vt:i4>0</vt:i4>
      </vt:variant>
      <vt:variant>
        <vt:i4>5</vt:i4>
      </vt:variant>
      <vt:variant>
        <vt:lpwstr/>
      </vt:variant>
      <vt:variant>
        <vt:lpwstr>_Toc307075795</vt:lpwstr>
      </vt:variant>
      <vt:variant>
        <vt:i4>1769524</vt:i4>
      </vt:variant>
      <vt:variant>
        <vt:i4>104</vt:i4>
      </vt:variant>
      <vt:variant>
        <vt:i4>0</vt:i4>
      </vt:variant>
      <vt:variant>
        <vt:i4>5</vt:i4>
      </vt:variant>
      <vt:variant>
        <vt:lpwstr/>
      </vt:variant>
      <vt:variant>
        <vt:lpwstr>_Toc307075794</vt:lpwstr>
      </vt:variant>
      <vt:variant>
        <vt:i4>1769524</vt:i4>
      </vt:variant>
      <vt:variant>
        <vt:i4>98</vt:i4>
      </vt:variant>
      <vt:variant>
        <vt:i4>0</vt:i4>
      </vt:variant>
      <vt:variant>
        <vt:i4>5</vt:i4>
      </vt:variant>
      <vt:variant>
        <vt:lpwstr/>
      </vt:variant>
      <vt:variant>
        <vt:lpwstr>_Toc307075793</vt:lpwstr>
      </vt:variant>
      <vt:variant>
        <vt:i4>1769524</vt:i4>
      </vt:variant>
      <vt:variant>
        <vt:i4>92</vt:i4>
      </vt:variant>
      <vt:variant>
        <vt:i4>0</vt:i4>
      </vt:variant>
      <vt:variant>
        <vt:i4>5</vt:i4>
      </vt:variant>
      <vt:variant>
        <vt:lpwstr/>
      </vt:variant>
      <vt:variant>
        <vt:lpwstr>_Toc307075792</vt:lpwstr>
      </vt:variant>
      <vt:variant>
        <vt:i4>1769524</vt:i4>
      </vt:variant>
      <vt:variant>
        <vt:i4>86</vt:i4>
      </vt:variant>
      <vt:variant>
        <vt:i4>0</vt:i4>
      </vt:variant>
      <vt:variant>
        <vt:i4>5</vt:i4>
      </vt:variant>
      <vt:variant>
        <vt:lpwstr/>
      </vt:variant>
      <vt:variant>
        <vt:lpwstr>_Toc307075791</vt:lpwstr>
      </vt:variant>
      <vt:variant>
        <vt:i4>1769524</vt:i4>
      </vt:variant>
      <vt:variant>
        <vt:i4>80</vt:i4>
      </vt:variant>
      <vt:variant>
        <vt:i4>0</vt:i4>
      </vt:variant>
      <vt:variant>
        <vt:i4>5</vt:i4>
      </vt:variant>
      <vt:variant>
        <vt:lpwstr/>
      </vt:variant>
      <vt:variant>
        <vt:lpwstr>_Toc307075790</vt:lpwstr>
      </vt:variant>
      <vt:variant>
        <vt:i4>1703988</vt:i4>
      </vt:variant>
      <vt:variant>
        <vt:i4>74</vt:i4>
      </vt:variant>
      <vt:variant>
        <vt:i4>0</vt:i4>
      </vt:variant>
      <vt:variant>
        <vt:i4>5</vt:i4>
      </vt:variant>
      <vt:variant>
        <vt:lpwstr/>
      </vt:variant>
      <vt:variant>
        <vt:lpwstr>_Toc307075789</vt:lpwstr>
      </vt:variant>
      <vt:variant>
        <vt:i4>1703988</vt:i4>
      </vt:variant>
      <vt:variant>
        <vt:i4>68</vt:i4>
      </vt:variant>
      <vt:variant>
        <vt:i4>0</vt:i4>
      </vt:variant>
      <vt:variant>
        <vt:i4>5</vt:i4>
      </vt:variant>
      <vt:variant>
        <vt:lpwstr/>
      </vt:variant>
      <vt:variant>
        <vt:lpwstr>_Toc307075788</vt:lpwstr>
      </vt:variant>
      <vt:variant>
        <vt:i4>1703988</vt:i4>
      </vt:variant>
      <vt:variant>
        <vt:i4>62</vt:i4>
      </vt:variant>
      <vt:variant>
        <vt:i4>0</vt:i4>
      </vt:variant>
      <vt:variant>
        <vt:i4>5</vt:i4>
      </vt:variant>
      <vt:variant>
        <vt:lpwstr/>
      </vt:variant>
      <vt:variant>
        <vt:lpwstr>_Toc307075787</vt:lpwstr>
      </vt:variant>
      <vt:variant>
        <vt:i4>1703988</vt:i4>
      </vt:variant>
      <vt:variant>
        <vt:i4>56</vt:i4>
      </vt:variant>
      <vt:variant>
        <vt:i4>0</vt:i4>
      </vt:variant>
      <vt:variant>
        <vt:i4>5</vt:i4>
      </vt:variant>
      <vt:variant>
        <vt:lpwstr/>
      </vt:variant>
      <vt:variant>
        <vt:lpwstr>_Toc307075786</vt:lpwstr>
      </vt:variant>
      <vt:variant>
        <vt:i4>1703988</vt:i4>
      </vt:variant>
      <vt:variant>
        <vt:i4>50</vt:i4>
      </vt:variant>
      <vt:variant>
        <vt:i4>0</vt:i4>
      </vt:variant>
      <vt:variant>
        <vt:i4>5</vt:i4>
      </vt:variant>
      <vt:variant>
        <vt:lpwstr/>
      </vt:variant>
      <vt:variant>
        <vt:lpwstr>_Toc307075785</vt:lpwstr>
      </vt:variant>
      <vt:variant>
        <vt:i4>1703988</vt:i4>
      </vt:variant>
      <vt:variant>
        <vt:i4>44</vt:i4>
      </vt:variant>
      <vt:variant>
        <vt:i4>0</vt:i4>
      </vt:variant>
      <vt:variant>
        <vt:i4>5</vt:i4>
      </vt:variant>
      <vt:variant>
        <vt:lpwstr/>
      </vt:variant>
      <vt:variant>
        <vt:lpwstr>_Toc307075784</vt:lpwstr>
      </vt:variant>
      <vt:variant>
        <vt:i4>1703988</vt:i4>
      </vt:variant>
      <vt:variant>
        <vt:i4>38</vt:i4>
      </vt:variant>
      <vt:variant>
        <vt:i4>0</vt:i4>
      </vt:variant>
      <vt:variant>
        <vt:i4>5</vt:i4>
      </vt:variant>
      <vt:variant>
        <vt:lpwstr/>
      </vt:variant>
      <vt:variant>
        <vt:lpwstr>_Toc307075783</vt:lpwstr>
      </vt:variant>
      <vt:variant>
        <vt:i4>1703988</vt:i4>
      </vt:variant>
      <vt:variant>
        <vt:i4>32</vt:i4>
      </vt:variant>
      <vt:variant>
        <vt:i4>0</vt:i4>
      </vt:variant>
      <vt:variant>
        <vt:i4>5</vt:i4>
      </vt:variant>
      <vt:variant>
        <vt:lpwstr/>
      </vt:variant>
      <vt:variant>
        <vt:lpwstr>_Toc307075782</vt:lpwstr>
      </vt:variant>
      <vt:variant>
        <vt:i4>1703988</vt:i4>
      </vt:variant>
      <vt:variant>
        <vt:i4>26</vt:i4>
      </vt:variant>
      <vt:variant>
        <vt:i4>0</vt:i4>
      </vt:variant>
      <vt:variant>
        <vt:i4>5</vt:i4>
      </vt:variant>
      <vt:variant>
        <vt:lpwstr/>
      </vt:variant>
      <vt:variant>
        <vt:lpwstr>_Toc307075781</vt:lpwstr>
      </vt:variant>
      <vt:variant>
        <vt:i4>1703988</vt:i4>
      </vt:variant>
      <vt:variant>
        <vt:i4>20</vt:i4>
      </vt:variant>
      <vt:variant>
        <vt:i4>0</vt:i4>
      </vt:variant>
      <vt:variant>
        <vt:i4>5</vt:i4>
      </vt:variant>
      <vt:variant>
        <vt:lpwstr/>
      </vt:variant>
      <vt:variant>
        <vt:lpwstr>_Toc307075780</vt:lpwstr>
      </vt:variant>
      <vt:variant>
        <vt:i4>1376308</vt:i4>
      </vt:variant>
      <vt:variant>
        <vt:i4>14</vt:i4>
      </vt:variant>
      <vt:variant>
        <vt:i4>0</vt:i4>
      </vt:variant>
      <vt:variant>
        <vt:i4>5</vt:i4>
      </vt:variant>
      <vt:variant>
        <vt:lpwstr/>
      </vt:variant>
      <vt:variant>
        <vt:lpwstr>_Toc307075779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impacts of ePortals for general practices - Summary</dc:title>
  <dc:creator>Sapere</dc:creator>
  <cp:keywords>Rel Date: 11 Nov 2014</cp:keywords>
  <dc:description>Template designed for Sapere Research Group by:  PCS Computer Training Limited 
Tel: +64 4 233 2999 or 0274 411 150</dc:description>
  <cp:lastModifiedBy>Judy Eves</cp:lastModifiedBy>
  <cp:revision>2</cp:revision>
  <cp:lastPrinted>2015-05-14T04:34:00Z</cp:lastPrinted>
  <dcterms:created xsi:type="dcterms:W3CDTF">2019-08-06T04:22:00Z</dcterms:created>
  <dcterms:modified xsi:type="dcterms:W3CDTF">2019-08-06T04:22:00Z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Date">
    <vt:lpwstr>Date</vt:lpwstr>
  </property>
  <property fmtid="{D5CDD505-2E9C-101B-9397-08002B2CF9AE}" pid="3" name="PreparedBy">
    <vt:lpwstr>PreparedBy</vt:lpwstr>
  </property>
  <property fmtid="{D5CDD505-2E9C-101B-9397-08002B2CF9AE}" pid="4" name="FooterTitle">
    <vt:lpwstr>FooterTitle</vt:lpwstr>
  </property>
  <property fmtid="{D5CDD505-2E9C-101B-9397-08002B2CF9AE}" pid="5" name="ContentTypeId">
    <vt:lpwstr>0x01010067F4CE4520D6F3469B020C8501506770</vt:lpwstr>
  </property>
</Properties>
</file>