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F92A" w14:textId="286B9B10" w:rsidR="00015C76" w:rsidRPr="001211C4" w:rsidRDefault="005E77CC" w:rsidP="00015C76">
      <w:pPr>
        <w:rPr>
          <w:rFonts w:asciiTheme="majorHAnsi" w:eastAsiaTheme="majorEastAsia" w:hAnsiTheme="majorHAnsi" w:cstheme="majorHAnsi"/>
          <w:b/>
          <w:color w:val="0070C0"/>
          <w:spacing w:val="-10"/>
          <w:kern w:val="28"/>
          <w:sz w:val="56"/>
          <w:szCs w:val="56"/>
        </w:rPr>
      </w:pPr>
      <w:r w:rsidRPr="001211C4">
        <w:rPr>
          <w:rFonts w:asciiTheme="majorHAnsi" w:eastAsiaTheme="majorEastAsia" w:hAnsiTheme="majorHAnsi" w:cstheme="majorHAnsi"/>
          <w:b/>
          <w:color w:val="0070C0"/>
          <w:spacing w:val="-10"/>
          <w:kern w:val="28"/>
          <w:sz w:val="56"/>
          <w:szCs w:val="56"/>
        </w:rPr>
        <w:t>Kaupapa Māori</w:t>
      </w:r>
    </w:p>
    <w:p w14:paraId="0409E475" w14:textId="7B2C11CA" w:rsidR="005E77CC" w:rsidRPr="001211C4" w:rsidRDefault="005E77CC" w:rsidP="005E77CC">
      <w:pPr>
        <w:pStyle w:val="ProCareHeading1"/>
        <w:spacing w:after="0"/>
        <w:rPr>
          <w:rFonts w:asciiTheme="majorHAnsi" w:hAnsiTheme="majorHAnsi" w:cstheme="majorHAnsi"/>
        </w:rPr>
      </w:pPr>
      <w:proofErr w:type="spellStart"/>
      <w:r w:rsidRPr="001211C4">
        <w:rPr>
          <w:rFonts w:asciiTheme="majorHAnsi" w:hAnsiTheme="majorHAnsi" w:cstheme="majorHAnsi"/>
        </w:rPr>
        <w:t>Whakatau</w:t>
      </w:r>
      <w:proofErr w:type="spellEnd"/>
      <w:r w:rsidRPr="001211C4">
        <w:rPr>
          <w:rFonts w:asciiTheme="majorHAnsi" w:hAnsiTheme="majorHAnsi" w:cstheme="majorHAnsi"/>
        </w:rPr>
        <w:t xml:space="preserve"> </w:t>
      </w:r>
      <w:r w:rsidR="001211C4">
        <w:rPr>
          <w:rFonts w:asciiTheme="majorHAnsi" w:hAnsiTheme="majorHAnsi" w:cstheme="majorHAnsi"/>
        </w:rPr>
        <w:t>g</w:t>
      </w:r>
      <w:r w:rsidRPr="001211C4">
        <w:rPr>
          <w:rFonts w:asciiTheme="majorHAnsi" w:hAnsiTheme="majorHAnsi" w:cstheme="majorHAnsi"/>
        </w:rPr>
        <w:t>uideline</w:t>
      </w:r>
    </w:p>
    <w:p w14:paraId="432881D7" w14:textId="671C126B" w:rsidR="005E77CC" w:rsidRPr="001211C4" w:rsidRDefault="005E77CC" w:rsidP="005E77CC">
      <w:pPr>
        <w:rPr>
          <w:rFonts w:asciiTheme="majorHAnsi" w:hAnsiTheme="majorHAnsi" w:cstheme="majorHAnsi"/>
          <w:lang w:val="mi-NZ"/>
        </w:rPr>
      </w:pPr>
      <w:r w:rsidRPr="001211C4">
        <w:rPr>
          <w:rFonts w:asciiTheme="majorHAnsi" w:hAnsiTheme="majorHAnsi" w:cstheme="majorHAnsi"/>
          <w:lang w:val="mi-NZ"/>
        </w:rPr>
        <w:t xml:space="preserve">Māori </w:t>
      </w:r>
      <w:r w:rsidR="001211C4">
        <w:rPr>
          <w:rFonts w:asciiTheme="majorHAnsi" w:hAnsiTheme="majorHAnsi" w:cstheme="majorHAnsi"/>
          <w:lang w:val="mi-NZ"/>
        </w:rPr>
        <w:t>g</w:t>
      </w:r>
      <w:r w:rsidRPr="001211C4">
        <w:rPr>
          <w:rFonts w:asciiTheme="majorHAnsi" w:hAnsiTheme="majorHAnsi" w:cstheme="majorHAnsi"/>
          <w:lang w:val="mi-NZ"/>
        </w:rPr>
        <w:t xml:space="preserve">athering </w:t>
      </w:r>
      <w:r w:rsidR="001211C4">
        <w:rPr>
          <w:rFonts w:asciiTheme="majorHAnsi" w:hAnsiTheme="majorHAnsi" w:cstheme="majorHAnsi"/>
          <w:lang w:val="mi-NZ"/>
        </w:rPr>
        <w:t>p</w:t>
      </w:r>
      <w:r w:rsidRPr="001211C4">
        <w:rPr>
          <w:rFonts w:asciiTheme="majorHAnsi" w:hAnsiTheme="majorHAnsi" w:cstheme="majorHAnsi"/>
          <w:lang w:val="mi-NZ"/>
        </w:rPr>
        <w:t>rotocols</w:t>
      </w:r>
    </w:p>
    <w:p w14:paraId="4CA9F7C0" w14:textId="5E38093D" w:rsidR="005E77CC" w:rsidRPr="001211C4" w:rsidRDefault="005E77CC" w:rsidP="005E77CC">
      <w:pPr>
        <w:pStyle w:val="ProCareHeading1"/>
        <w:spacing w:before="480"/>
        <w:rPr>
          <w:rFonts w:asciiTheme="majorHAnsi" w:hAnsiTheme="majorHAnsi" w:cstheme="majorHAnsi"/>
        </w:rPr>
      </w:pPr>
      <w:proofErr w:type="spellStart"/>
      <w:r w:rsidRPr="001211C4">
        <w:rPr>
          <w:rFonts w:asciiTheme="majorHAnsi" w:hAnsiTheme="majorHAnsi" w:cstheme="majorHAnsi"/>
        </w:rPr>
        <w:t>Kaupapa</w:t>
      </w:r>
      <w:proofErr w:type="spellEnd"/>
      <w:r w:rsidRPr="001211C4">
        <w:rPr>
          <w:rFonts w:asciiTheme="majorHAnsi" w:hAnsiTheme="majorHAnsi" w:cstheme="majorHAnsi"/>
        </w:rPr>
        <w:t xml:space="preserve"> </w:t>
      </w:r>
      <w:proofErr w:type="spellStart"/>
      <w:r w:rsidR="001211C4">
        <w:rPr>
          <w:rFonts w:asciiTheme="majorHAnsi" w:hAnsiTheme="majorHAnsi" w:cstheme="majorHAnsi"/>
        </w:rPr>
        <w:t>k</w:t>
      </w:r>
      <w:r w:rsidRPr="001211C4">
        <w:rPr>
          <w:rFonts w:asciiTheme="majorHAnsi" w:hAnsiTheme="majorHAnsi" w:cstheme="majorHAnsi"/>
        </w:rPr>
        <w:t>ōrero</w:t>
      </w:r>
      <w:proofErr w:type="spellEnd"/>
      <w:r w:rsidRPr="001211C4">
        <w:rPr>
          <w:rFonts w:asciiTheme="majorHAnsi" w:hAnsiTheme="majorHAnsi" w:cstheme="majorHAnsi"/>
        </w:rPr>
        <w:t xml:space="preserve"> | Description</w:t>
      </w:r>
    </w:p>
    <w:p w14:paraId="2F927172" w14:textId="77777777" w:rsidR="005E77CC" w:rsidRPr="001211C4" w:rsidRDefault="005E77CC" w:rsidP="005E77CC">
      <w:pPr>
        <w:rPr>
          <w:rFonts w:asciiTheme="majorHAnsi" w:hAnsiTheme="majorHAnsi" w:cstheme="majorHAnsi"/>
          <w:lang w:val="mi-NZ"/>
        </w:rPr>
      </w:pPr>
      <w:r w:rsidRPr="001211C4">
        <w:rPr>
          <w:rFonts w:asciiTheme="majorHAnsi" w:hAnsiTheme="majorHAnsi" w:cstheme="majorHAnsi"/>
          <w:lang w:val="mi-NZ"/>
        </w:rPr>
        <w:t>The intention of this guideline is to provide working examples of how whakatau can be used in a work setting to promote Māori protocols of engagement and host responsibility.</w:t>
      </w:r>
    </w:p>
    <w:p w14:paraId="2016DD16" w14:textId="77777777" w:rsidR="005E77CC" w:rsidRPr="001211C4" w:rsidRDefault="005E77CC" w:rsidP="005E77CC">
      <w:pPr>
        <w:pStyle w:val="ProCareHeading1"/>
        <w:rPr>
          <w:rFonts w:asciiTheme="majorHAnsi" w:hAnsiTheme="majorHAnsi" w:cstheme="majorHAnsi"/>
        </w:rPr>
      </w:pPr>
      <w:r w:rsidRPr="001211C4">
        <w:rPr>
          <w:rFonts w:asciiTheme="majorHAnsi" w:hAnsiTheme="majorHAnsi" w:cstheme="majorHAnsi"/>
        </w:rPr>
        <w:t>Kawa | Tradition</w:t>
      </w:r>
    </w:p>
    <w:p w14:paraId="282C5116" w14:textId="00F9AE61" w:rsidR="005E77CC" w:rsidRPr="001211C4" w:rsidRDefault="005E77CC" w:rsidP="005E77CC">
      <w:pPr>
        <w:rPr>
          <w:rFonts w:asciiTheme="majorHAnsi" w:hAnsiTheme="majorHAnsi" w:cstheme="majorHAnsi"/>
          <w:lang w:val="mi-NZ"/>
        </w:rPr>
      </w:pPr>
      <w:r w:rsidRPr="001211C4">
        <w:rPr>
          <w:rFonts w:asciiTheme="majorHAnsi" w:hAnsiTheme="majorHAnsi" w:cstheme="majorHAnsi"/>
          <w:lang w:val="mi-NZ"/>
        </w:rPr>
        <w:t>Our guideline will promote kawa that is derived from Mana Whenua of Tamaki Makaurau; the principle kawa are derived from</w:t>
      </w:r>
      <w:r w:rsidR="0081454F" w:rsidRPr="001211C4">
        <w:rPr>
          <w:rFonts w:asciiTheme="majorHAnsi" w:hAnsiTheme="majorHAnsi" w:cstheme="majorHAnsi"/>
          <w:lang w:val="mi-NZ"/>
        </w:rPr>
        <w:t xml:space="preserve"> </w:t>
      </w:r>
      <w:r w:rsidRPr="001211C4">
        <w:rPr>
          <w:rFonts w:asciiTheme="majorHAnsi" w:hAnsiTheme="majorHAnsi" w:cstheme="majorHAnsi"/>
          <w:lang w:val="mi-NZ"/>
        </w:rPr>
        <w:t xml:space="preserve">Ngāti Whātua </w:t>
      </w:r>
      <w:r w:rsidR="0081454F" w:rsidRPr="001211C4">
        <w:rPr>
          <w:rFonts w:asciiTheme="majorHAnsi" w:hAnsiTheme="majorHAnsi" w:cstheme="majorHAnsi"/>
          <w:lang w:val="mi-NZ"/>
        </w:rPr>
        <w:t xml:space="preserve">and Tainui </w:t>
      </w:r>
      <w:r w:rsidRPr="001211C4">
        <w:rPr>
          <w:rFonts w:asciiTheme="majorHAnsi" w:hAnsiTheme="majorHAnsi" w:cstheme="majorHAnsi"/>
          <w:lang w:val="mi-NZ"/>
        </w:rPr>
        <w:t>traditions. The preferred format for formal gatherings is referred to as pāeke. Pāeke refers to the format of speaking and in this tradition the host speakers all speak and once concluded the guest speak. This is then concluded with hongi and hakari.</w:t>
      </w:r>
    </w:p>
    <w:p w14:paraId="472F8665" w14:textId="77777777" w:rsidR="005E77CC" w:rsidRPr="001211C4" w:rsidRDefault="005E77CC" w:rsidP="005E77CC">
      <w:pPr>
        <w:pStyle w:val="ProCareHeading1"/>
        <w:rPr>
          <w:rFonts w:asciiTheme="majorHAnsi" w:hAnsiTheme="majorHAnsi" w:cstheme="majorHAnsi"/>
        </w:rPr>
      </w:pPr>
      <w:r w:rsidRPr="001211C4">
        <w:rPr>
          <w:rFonts w:asciiTheme="majorHAnsi" w:hAnsiTheme="majorHAnsi" w:cstheme="majorHAnsi"/>
        </w:rPr>
        <w:t>Tikanga | Protocol</w:t>
      </w:r>
    </w:p>
    <w:p w14:paraId="05439C86" w14:textId="77777777" w:rsidR="005E77CC" w:rsidRPr="001211C4" w:rsidRDefault="005E77CC" w:rsidP="005E77CC">
      <w:pPr>
        <w:rPr>
          <w:rFonts w:asciiTheme="majorHAnsi" w:hAnsiTheme="majorHAnsi" w:cstheme="majorHAnsi"/>
          <w:lang w:val="mi-NZ"/>
        </w:rPr>
      </w:pPr>
      <w:r w:rsidRPr="001211C4">
        <w:rPr>
          <w:rFonts w:asciiTheme="majorHAnsi" w:hAnsiTheme="majorHAnsi" w:cstheme="majorHAnsi"/>
          <w:lang w:val="mi-NZ"/>
        </w:rPr>
        <w:t>The following tikanga will clarify cultural definitions and requirements when hosting gatherings within a Māori context.</w:t>
      </w:r>
    </w:p>
    <w:p w14:paraId="0DD86D44" w14:textId="77777777" w:rsidR="005E77CC" w:rsidRPr="001211C4" w:rsidRDefault="005E77CC" w:rsidP="005E77CC">
      <w:pPr>
        <w:pStyle w:val="ProCareHeading2"/>
        <w:rPr>
          <w:rFonts w:asciiTheme="majorHAnsi" w:hAnsiTheme="majorHAnsi" w:cstheme="majorHAnsi"/>
          <w:lang w:val="mi-NZ"/>
        </w:rPr>
      </w:pPr>
      <w:r w:rsidRPr="001211C4">
        <w:rPr>
          <w:rFonts w:asciiTheme="majorHAnsi" w:hAnsiTheme="majorHAnsi" w:cstheme="majorHAnsi"/>
          <w:lang w:val="mi-NZ"/>
        </w:rPr>
        <w:t>Mihi Whakatau | Welcome</w:t>
      </w:r>
    </w:p>
    <w:p w14:paraId="42E4801A" w14:textId="05A372A5" w:rsidR="005E77CC" w:rsidRPr="001211C4" w:rsidRDefault="005E77CC" w:rsidP="005E77CC">
      <w:pPr>
        <w:pStyle w:val="ListParagraph"/>
        <w:numPr>
          <w:ilvl w:val="0"/>
          <w:numId w:val="2"/>
        </w:numPr>
        <w:rPr>
          <w:rFonts w:asciiTheme="majorHAnsi" w:hAnsiTheme="majorHAnsi" w:cstheme="majorHAnsi"/>
          <w:lang w:val="mi-NZ"/>
        </w:rPr>
      </w:pPr>
      <w:r w:rsidRPr="001211C4">
        <w:rPr>
          <w:rFonts w:asciiTheme="majorHAnsi" w:hAnsiTheme="majorHAnsi" w:cstheme="majorHAnsi"/>
          <w:lang w:val="mi-NZ"/>
        </w:rPr>
        <w:t>Whakatau are less formal than a full pō</w:t>
      </w:r>
      <w:r w:rsidR="0081454F" w:rsidRPr="001211C4">
        <w:rPr>
          <w:rFonts w:asciiTheme="majorHAnsi" w:hAnsiTheme="majorHAnsi" w:cstheme="majorHAnsi"/>
          <w:lang w:val="mi-NZ"/>
        </w:rPr>
        <w:t>w</w:t>
      </w:r>
      <w:r w:rsidRPr="001211C4">
        <w:rPr>
          <w:rFonts w:asciiTheme="majorHAnsi" w:hAnsiTheme="majorHAnsi" w:cstheme="majorHAnsi"/>
          <w:lang w:val="mi-NZ"/>
        </w:rPr>
        <w:t>hiri.</w:t>
      </w:r>
    </w:p>
    <w:p w14:paraId="53133A57" w14:textId="49199DDD" w:rsidR="005E77CC" w:rsidRPr="001211C4" w:rsidRDefault="005E77CC" w:rsidP="005E77CC">
      <w:pPr>
        <w:pStyle w:val="ListParagraph"/>
        <w:numPr>
          <w:ilvl w:val="0"/>
          <w:numId w:val="2"/>
        </w:numPr>
        <w:rPr>
          <w:rFonts w:asciiTheme="majorHAnsi" w:hAnsiTheme="majorHAnsi" w:cstheme="majorHAnsi"/>
          <w:lang w:val="mi-NZ"/>
        </w:rPr>
      </w:pPr>
      <w:r w:rsidRPr="001211C4">
        <w:rPr>
          <w:rFonts w:asciiTheme="majorHAnsi" w:hAnsiTheme="majorHAnsi" w:cstheme="majorHAnsi"/>
          <w:lang w:val="mi-NZ"/>
        </w:rPr>
        <w:t>Whakatau are used to incorporate tikanga Māori into contexts outside of normal cultural settings (</w:t>
      </w:r>
      <w:r w:rsidR="001211C4">
        <w:rPr>
          <w:rFonts w:asciiTheme="majorHAnsi" w:hAnsiTheme="majorHAnsi" w:cstheme="majorHAnsi"/>
          <w:lang w:val="mi-NZ"/>
        </w:rPr>
        <w:t>m</w:t>
      </w:r>
      <w:r w:rsidRPr="001211C4">
        <w:rPr>
          <w:rFonts w:asciiTheme="majorHAnsi" w:hAnsiTheme="majorHAnsi" w:cstheme="majorHAnsi"/>
          <w:lang w:val="mi-NZ"/>
        </w:rPr>
        <w:t>arae) but are more flexible in regard to situation, setting and knowledge.</w:t>
      </w:r>
    </w:p>
    <w:p w14:paraId="23B1EDBB" w14:textId="7ACF7AC7" w:rsidR="005E77CC" w:rsidRPr="001211C4" w:rsidRDefault="005E77CC" w:rsidP="005E77CC">
      <w:pPr>
        <w:pStyle w:val="ListParagraph"/>
        <w:numPr>
          <w:ilvl w:val="0"/>
          <w:numId w:val="2"/>
        </w:numPr>
        <w:rPr>
          <w:rFonts w:asciiTheme="majorHAnsi" w:hAnsiTheme="majorHAnsi" w:cstheme="majorHAnsi"/>
          <w:lang w:val="mi-NZ"/>
        </w:rPr>
      </w:pPr>
      <w:r w:rsidRPr="001211C4">
        <w:rPr>
          <w:rFonts w:asciiTheme="majorHAnsi" w:hAnsiTheme="majorHAnsi" w:cstheme="majorHAnsi"/>
          <w:lang w:val="mi-NZ"/>
        </w:rPr>
        <w:t>Whakatau serve the purpose of hono</w:t>
      </w:r>
      <w:r w:rsidR="00784704" w:rsidRPr="001211C4">
        <w:rPr>
          <w:rFonts w:asciiTheme="majorHAnsi" w:hAnsiTheme="majorHAnsi" w:cstheme="majorHAnsi"/>
          <w:lang w:val="mi-NZ"/>
        </w:rPr>
        <w:t>u</w:t>
      </w:r>
      <w:r w:rsidRPr="001211C4">
        <w:rPr>
          <w:rFonts w:asciiTheme="majorHAnsi" w:hAnsiTheme="majorHAnsi" w:cstheme="majorHAnsi"/>
          <w:lang w:val="mi-NZ"/>
        </w:rPr>
        <w:t>ring and acknowledging a person</w:t>
      </w:r>
      <w:r w:rsidR="00784704" w:rsidRPr="001211C4">
        <w:rPr>
          <w:rFonts w:asciiTheme="majorHAnsi" w:hAnsiTheme="majorHAnsi" w:cstheme="majorHAnsi"/>
          <w:lang w:val="mi-NZ"/>
        </w:rPr>
        <w:t>’</w:t>
      </w:r>
      <w:r w:rsidRPr="001211C4">
        <w:rPr>
          <w:rFonts w:asciiTheme="majorHAnsi" w:hAnsiTheme="majorHAnsi" w:cstheme="majorHAnsi"/>
          <w:lang w:val="mi-NZ"/>
        </w:rPr>
        <w:t>s significance, a relationship, a connection or an event.</w:t>
      </w:r>
    </w:p>
    <w:p w14:paraId="7BF9D567" w14:textId="4A0B1AB5" w:rsidR="005E77CC" w:rsidRPr="001211C4" w:rsidRDefault="005E77CC" w:rsidP="005E77CC">
      <w:pPr>
        <w:pStyle w:val="ListParagraph"/>
        <w:numPr>
          <w:ilvl w:val="0"/>
          <w:numId w:val="2"/>
        </w:numPr>
        <w:rPr>
          <w:rFonts w:asciiTheme="majorHAnsi" w:hAnsiTheme="majorHAnsi" w:cstheme="majorHAnsi"/>
          <w:lang w:val="mi-NZ"/>
        </w:rPr>
      </w:pPr>
      <w:r w:rsidRPr="001211C4">
        <w:rPr>
          <w:rFonts w:asciiTheme="majorHAnsi" w:hAnsiTheme="majorHAnsi" w:cstheme="majorHAnsi"/>
          <w:lang w:val="mi-NZ"/>
        </w:rPr>
        <w:t xml:space="preserve">Whakatau will align with the kawa of </w:t>
      </w:r>
      <w:r w:rsidR="0081454F" w:rsidRPr="001211C4">
        <w:rPr>
          <w:rFonts w:asciiTheme="majorHAnsi" w:hAnsiTheme="majorHAnsi" w:cstheme="majorHAnsi"/>
          <w:lang w:val="mi-NZ"/>
        </w:rPr>
        <w:t>M</w:t>
      </w:r>
      <w:r w:rsidRPr="001211C4">
        <w:rPr>
          <w:rFonts w:asciiTheme="majorHAnsi" w:hAnsiTheme="majorHAnsi" w:cstheme="majorHAnsi"/>
          <w:lang w:val="mi-NZ"/>
        </w:rPr>
        <w:t xml:space="preserve">ana </w:t>
      </w:r>
      <w:r w:rsidR="0081454F" w:rsidRPr="001211C4">
        <w:rPr>
          <w:rFonts w:asciiTheme="majorHAnsi" w:hAnsiTheme="majorHAnsi" w:cstheme="majorHAnsi"/>
          <w:lang w:val="mi-NZ"/>
        </w:rPr>
        <w:t>W</w:t>
      </w:r>
      <w:r w:rsidRPr="001211C4">
        <w:rPr>
          <w:rFonts w:asciiTheme="majorHAnsi" w:hAnsiTheme="majorHAnsi" w:cstheme="majorHAnsi"/>
          <w:lang w:val="mi-NZ"/>
        </w:rPr>
        <w:t>henua, but will also take into account the cultural capability and capacity of (practice name).</w:t>
      </w:r>
    </w:p>
    <w:p w14:paraId="3A7CD2A5" w14:textId="77777777" w:rsidR="005E77CC" w:rsidRPr="001211C4" w:rsidRDefault="005E77CC" w:rsidP="005E77CC">
      <w:pPr>
        <w:pStyle w:val="ListParagraph"/>
        <w:numPr>
          <w:ilvl w:val="0"/>
          <w:numId w:val="2"/>
        </w:numPr>
        <w:rPr>
          <w:rFonts w:asciiTheme="majorHAnsi" w:hAnsiTheme="majorHAnsi" w:cstheme="majorHAnsi"/>
          <w:lang w:val="mi-NZ"/>
        </w:rPr>
      </w:pPr>
      <w:r w:rsidRPr="001211C4">
        <w:rPr>
          <w:rFonts w:asciiTheme="majorHAnsi" w:hAnsiTheme="majorHAnsi" w:cstheme="majorHAnsi"/>
          <w:lang w:val="mi-NZ"/>
        </w:rPr>
        <w:t>Whakatau can be used for:</w:t>
      </w:r>
    </w:p>
    <w:p w14:paraId="61A9D217" w14:textId="77777777" w:rsidR="005E77CC" w:rsidRPr="001211C4" w:rsidRDefault="005E77CC" w:rsidP="005E77CC">
      <w:pPr>
        <w:pStyle w:val="ListParagraph"/>
        <w:numPr>
          <w:ilvl w:val="1"/>
          <w:numId w:val="2"/>
        </w:numPr>
        <w:rPr>
          <w:rFonts w:asciiTheme="majorHAnsi" w:hAnsiTheme="majorHAnsi" w:cstheme="majorHAnsi"/>
          <w:lang w:val="mi-NZ"/>
        </w:rPr>
      </w:pPr>
      <w:r w:rsidRPr="001211C4">
        <w:rPr>
          <w:rFonts w:asciiTheme="majorHAnsi" w:hAnsiTheme="majorHAnsi" w:cstheme="majorHAnsi"/>
          <w:lang w:val="mi-NZ"/>
        </w:rPr>
        <w:t>Welcoming new staff members.</w:t>
      </w:r>
    </w:p>
    <w:p w14:paraId="4AEDA781" w14:textId="270C5FC2" w:rsidR="005E77CC" w:rsidRPr="001211C4" w:rsidRDefault="005E77CC" w:rsidP="005E77CC">
      <w:pPr>
        <w:pStyle w:val="ListParagraph"/>
        <w:numPr>
          <w:ilvl w:val="1"/>
          <w:numId w:val="2"/>
        </w:numPr>
        <w:rPr>
          <w:rFonts w:asciiTheme="majorHAnsi" w:hAnsiTheme="majorHAnsi" w:cstheme="majorHAnsi"/>
          <w:lang w:val="mi-NZ"/>
        </w:rPr>
      </w:pPr>
      <w:r w:rsidRPr="001211C4">
        <w:rPr>
          <w:rFonts w:asciiTheme="majorHAnsi" w:hAnsiTheme="majorHAnsi" w:cstheme="majorHAnsi"/>
          <w:lang w:val="mi-NZ"/>
        </w:rPr>
        <w:t>Welcoming an e</w:t>
      </w:r>
      <w:r w:rsidR="0081454F" w:rsidRPr="001211C4">
        <w:rPr>
          <w:rFonts w:asciiTheme="majorHAnsi" w:hAnsiTheme="majorHAnsi" w:cstheme="majorHAnsi"/>
          <w:lang w:val="mi-NZ"/>
        </w:rPr>
        <w:t>x</w:t>
      </w:r>
      <w:r w:rsidRPr="001211C4">
        <w:rPr>
          <w:rFonts w:asciiTheme="majorHAnsi" w:hAnsiTheme="majorHAnsi" w:cstheme="majorHAnsi"/>
          <w:lang w:val="mi-NZ"/>
        </w:rPr>
        <w:t>ternal guest e.g. auditor, trainer, supervisor, consultant.</w:t>
      </w:r>
    </w:p>
    <w:p w14:paraId="1A3FCFF7" w14:textId="77777777" w:rsidR="005E77CC" w:rsidRPr="001211C4" w:rsidRDefault="005E77CC" w:rsidP="005E77CC">
      <w:pPr>
        <w:pStyle w:val="ListParagraph"/>
        <w:numPr>
          <w:ilvl w:val="0"/>
          <w:numId w:val="2"/>
        </w:numPr>
        <w:rPr>
          <w:rFonts w:asciiTheme="majorHAnsi" w:hAnsiTheme="majorHAnsi" w:cstheme="majorHAnsi"/>
          <w:lang w:val="mi-NZ"/>
        </w:rPr>
      </w:pPr>
      <w:r w:rsidRPr="001211C4">
        <w:rPr>
          <w:rFonts w:asciiTheme="majorHAnsi" w:hAnsiTheme="majorHAnsi" w:cstheme="majorHAnsi"/>
          <w:lang w:val="mi-NZ"/>
        </w:rPr>
        <w:t>There are key individuals across the ProCare Network who can support Mihi Whakatau given the context of who is being hosted, the significance of the gathering and who is available to support.</w:t>
      </w:r>
    </w:p>
    <w:p w14:paraId="1D19F0E1" w14:textId="77777777" w:rsidR="005E77CC" w:rsidRPr="001211C4" w:rsidRDefault="005E77CC" w:rsidP="005E77CC">
      <w:pPr>
        <w:pStyle w:val="ListParagraph"/>
        <w:numPr>
          <w:ilvl w:val="0"/>
          <w:numId w:val="2"/>
        </w:numPr>
        <w:rPr>
          <w:rFonts w:asciiTheme="majorHAnsi" w:hAnsiTheme="majorHAnsi" w:cstheme="majorHAnsi"/>
          <w:lang w:val="mi-NZ"/>
        </w:rPr>
      </w:pPr>
      <w:r w:rsidRPr="001211C4">
        <w:rPr>
          <w:rFonts w:asciiTheme="majorHAnsi" w:hAnsiTheme="majorHAnsi" w:cstheme="majorHAnsi"/>
          <w:lang w:val="mi-NZ"/>
        </w:rPr>
        <w:t>Mihi Whakatau are also an opportunity for professional development for some staff that are different stages of fulfilling cultural roles. Regardless of title, a whakatau can provide the means for somebody with Te Reo to play a key role in a whakatau.</w:t>
      </w:r>
    </w:p>
    <w:p w14:paraId="073A996B" w14:textId="77777777" w:rsidR="005E77CC" w:rsidRPr="001211C4" w:rsidRDefault="005E77CC" w:rsidP="005E77CC">
      <w:pPr>
        <w:pStyle w:val="ListParagraph"/>
        <w:numPr>
          <w:ilvl w:val="0"/>
          <w:numId w:val="2"/>
        </w:numPr>
        <w:rPr>
          <w:rFonts w:asciiTheme="majorHAnsi" w:hAnsiTheme="majorHAnsi" w:cstheme="majorHAnsi"/>
          <w:lang w:val="mi-NZ"/>
        </w:rPr>
      </w:pPr>
      <w:r w:rsidRPr="001211C4">
        <w:rPr>
          <w:rFonts w:asciiTheme="majorHAnsi" w:hAnsiTheme="majorHAnsi" w:cstheme="majorHAnsi"/>
          <w:lang w:val="mi-NZ"/>
        </w:rPr>
        <w:lastRenderedPageBreak/>
        <w:t>Whakatau provide the opportunity for other languages to be shared which promotes diversity and understanding.</w:t>
      </w:r>
    </w:p>
    <w:p w14:paraId="6E1C61C1" w14:textId="77777777" w:rsidR="005E77CC" w:rsidRPr="001211C4" w:rsidRDefault="005E77CC" w:rsidP="005E77CC">
      <w:pPr>
        <w:pStyle w:val="ListParagraph"/>
        <w:numPr>
          <w:ilvl w:val="0"/>
          <w:numId w:val="2"/>
        </w:numPr>
        <w:rPr>
          <w:rFonts w:asciiTheme="majorHAnsi" w:hAnsiTheme="majorHAnsi" w:cstheme="majorHAnsi"/>
          <w:lang w:val="mi-NZ"/>
        </w:rPr>
      </w:pPr>
      <w:r w:rsidRPr="001211C4">
        <w:rPr>
          <w:rFonts w:asciiTheme="majorHAnsi" w:hAnsiTheme="majorHAnsi" w:cstheme="majorHAnsi"/>
          <w:lang w:val="mi-NZ"/>
        </w:rPr>
        <w:t>Please contact the Equity team to provide guidance and support if you have questions.</w:t>
      </w:r>
    </w:p>
    <w:p w14:paraId="51DF18AE" w14:textId="77777777" w:rsidR="005E77CC" w:rsidRPr="001211C4" w:rsidRDefault="005E77CC" w:rsidP="005E77CC">
      <w:pPr>
        <w:pStyle w:val="ProCareHeading1"/>
        <w:rPr>
          <w:rFonts w:asciiTheme="majorHAnsi" w:hAnsiTheme="majorHAnsi" w:cstheme="majorHAnsi"/>
        </w:rPr>
      </w:pPr>
      <w:r w:rsidRPr="001211C4">
        <w:rPr>
          <w:rFonts w:asciiTheme="majorHAnsi" w:hAnsiTheme="majorHAnsi" w:cstheme="majorHAnsi"/>
        </w:rPr>
        <w:t>Whakaritenga | Guideline</w:t>
      </w:r>
    </w:p>
    <w:p w14:paraId="76C2B6E1" w14:textId="66ED78E9" w:rsidR="005E77CC" w:rsidRPr="001211C4" w:rsidRDefault="005E77CC" w:rsidP="005E77CC">
      <w:pPr>
        <w:rPr>
          <w:rFonts w:asciiTheme="majorHAnsi" w:hAnsiTheme="majorHAnsi" w:cstheme="majorHAnsi"/>
          <w:lang w:val="mi-NZ"/>
        </w:rPr>
      </w:pPr>
      <w:r w:rsidRPr="001211C4">
        <w:rPr>
          <w:rFonts w:asciiTheme="majorHAnsi" w:hAnsiTheme="majorHAnsi" w:cstheme="majorHAnsi"/>
          <w:lang w:val="mi-NZ"/>
        </w:rPr>
        <w:t>Below you will find some exampl</w:t>
      </w:r>
      <w:r w:rsidR="00784704" w:rsidRPr="001211C4">
        <w:rPr>
          <w:rFonts w:asciiTheme="majorHAnsi" w:hAnsiTheme="majorHAnsi" w:cstheme="majorHAnsi"/>
          <w:lang w:val="mi-NZ"/>
        </w:rPr>
        <w:t>es of how whakatau are incorpor</w:t>
      </w:r>
      <w:r w:rsidRPr="001211C4">
        <w:rPr>
          <w:rFonts w:asciiTheme="majorHAnsi" w:hAnsiTheme="majorHAnsi" w:cstheme="majorHAnsi"/>
          <w:lang w:val="mi-NZ"/>
        </w:rPr>
        <w:t>ate</w:t>
      </w:r>
      <w:r w:rsidR="0081454F" w:rsidRPr="001211C4">
        <w:rPr>
          <w:rFonts w:asciiTheme="majorHAnsi" w:hAnsiTheme="majorHAnsi" w:cstheme="majorHAnsi"/>
          <w:lang w:val="mi-NZ"/>
        </w:rPr>
        <w:t>d</w:t>
      </w:r>
      <w:r w:rsidRPr="001211C4">
        <w:rPr>
          <w:rFonts w:asciiTheme="majorHAnsi" w:hAnsiTheme="majorHAnsi" w:cstheme="majorHAnsi"/>
          <w:lang w:val="mi-NZ"/>
        </w:rPr>
        <w:t xml:space="preserve"> into the work place. The more you are able</w:t>
      </w:r>
      <w:r w:rsidR="001211C4">
        <w:rPr>
          <w:rFonts w:asciiTheme="majorHAnsi" w:hAnsiTheme="majorHAnsi" w:cstheme="majorHAnsi"/>
          <w:lang w:val="mi-NZ"/>
        </w:rPr>
        <w:t xml:space="preserve"> to</w:t>
      </w:r>
      <w:r w:rsidRPr="001211C4">
        <w:rPr>
          <w:rFonts w:asciiTheme="majorHAnsi" w:hAnsiTheme="majorHAnsi" w:cstheme="majorHAnsi"/>
          <w:lang w:val="mi-NZ"/>
        </w:rPr>
        <w:t xml:space="preserve"> display your cultural elements, the more respect that is conveyed to those that play the roles in your whakatau and of course the organisation.</w:t>
      </w:r>
    </w:p>
    <w:p w14:paraId="26EED69E" w14:textId="58F6E47E" w:rsidR="005E77CC" w:rsidRPr="001211C4" w:rsidRDefault="005E77CC" w:rsidP="005E77CC">
      <w:pPr>
        <w:rPr>
          <w:rFonts w:asciiTheme="majorHAnsi" w:hAnsiTheme="majorHAnsi" w:cstheme="majorHAnsi"/>
          <w:lang w:val="mi-NZ"/>
        </w:rPr>
      </w:pPr>
    </w:p>
    <w:p w14:paraId="33AC2F0F" w14:textId="43A1DDE0" w:rsidR="005E77CC" w:rsidRPr="001211C4" w:rsidRDefault="005E77CC" w:rsidP="005E77CC">
      <w:pPr>
        <w:pStyle w:val="ProCareHeading2"/>
        <w:rPr>
          <w:rFonts w:asciiTheme="majorHAnsi" w:hAnsiTheme="majorHAnsi" w:cstheme="majorHAnsi"/>
          <w:lang w:val="mi-NZ"/>
        </w:rPr>
      </w:pPr>
      <w:r w:rsidRPr="001211C4">
        <w:rPr>
          <w:rFonts w:asciiTheme="majorHAnsi" w:hAnsiTheme="majorHAnsi" w:cstheme="majorHAnsi"/>
          <w:lang w:val="mi-NZ"/>
        </w:rPr>
        <w:t xml:space="preserve">Generic </w:t>
      </w:r>
      <w:r w:rsidR="001211C4">
        <w:rPr>
          <w:rFonts w:asciiTheme="majorHAnsi" w:hAnsiTheme="majorHAnsi" w:cstheme="majorHAnsi"/>
          <w:lang w:val="mi-NZ"/>
        </w:rPr>
        <w:t>w</w:t>
      </w:r>
      <w:bookmarkStart w:id="0" w:name="_GoBack"/>
      <w:bookmarkEnd w:id="0"/>
      <w:r w:rsidRPr="001211C4">
        <w:rPr>
          <w:rFonts w:asciiTheme="majorHAnsi" w:hAnsiTheme="majorHAnsi" w:cstheme="majorHAnsi"/>
          <w:lang w:val="mi-NZ"/>
        </w:rPr>
        <w:t>hakatau</w:t>
      </w:r>
    </w:p>
    <w:p w14:paraId="6F962D1C" w14:textId="77777777" w:rsidR="005E77CC" w:rsidRPr="001211C4" w:rsidRDefault="005E77CC" w:rsidP="005E77CC">
      <w:pPr>
        <w:pStyle w:val="ListParagraph"/>
        <w:numPr>
          <w:ilvl w:val="0"/>
          <w:numId w:val="3"/>
        </w:numPr>
        <w:rPr>
          <w:rFonts w:asciiTheme="majorHAnsi" w:hAnsiTheme="majorHAnsi" w:cstheme="majorHAnsi"/>
          <w:lang w:val="mi-NZ"/>
        </w:rPr>
      </w:pPr>
      <w:r w:rsidRPr="001211C4">
        <w:rPr>
          <w:rFonts w:asciiTheme="majorHAnsi" w:hAnsiTheme="majorHAnsi" w:cstheme="majorHAnsi"/>
          <w:lang w:val="mi-NZ"/>
        </w:rPr>
        <w:t>Plan to provide a space that will not be disturbed</w:t>
      </w:r>
    </w:p>
    <w:p w14:paraId="6F4D8321" w14:textId="77777777" w:rsidR="005E77CC" w:rsidRPr="001211C4" w:rsidRDefault="005E77CC" w:rsidP="005E77CC">
      <w:pPr>
        <w:pStyle w:val="ListParagraph"/>
        <w:numPr>
          <w:ilvl w:val="0"/>
          <w:numId w:val="3"/>
        </w:numPr>
        <w:rPr>
          <w:rFonts w:asciiTheme="majorHAnsi" w:hAnsiTheme="majorHAnsi" w:cstheme="majorHAnsi"/>
          <w:lang w:val="mi-NZ"/>
        </w:rPr>
      </w:pPr>
      <w:r w:rsidRPr="001211C4">
        <w:rPr>
          <w:rFonts w:asciiTheme="majorHAnsi" w:hAnsiTheme="majorHAnsi" w:cstheme="majorHAnsi"/>
          <w:lang w:val="mi-NZ"/>
        </w:rPr>
        <w:t>You will need to have someone to offer a karakia or prayer to open the whakatau.</w:t>
      </w:r>
    </w:p>
    <w:p w14:paraId="0BAC81DA" w14:textId="77777777" w:rsidR="005E77CC" w:rsidRPr="001211C4" w:rsidRDefault="005E77CC" w:rsidP="005E77CC">
      <w:pPr>
        <w:pStyle w:val="ListParagraph"/>
        <w:numPr>
          <w:ilvl w:val="1"/>
          <w:numId w:val="3"/>
        </w:numPr>
        <w:rPr>
          <w:rFonts w:asciiTheme="majorHAnsi" w:hAnsiTheme="majorHAnsi" w:cstheme="majorHAnsi"/>
          <w:lang w:val="mi-NZ"/>
        </w:rPr>
      </w:pPr>
      <w:r w:rsidRPr="001211C4">
        <w:rPr>
          <w:rFonts w:asciiTheme="majorHAnsi" w:hAnsiTheme="majorHAnsi" w:cstheme="majorHAnsi"/>
          <w:lang w:val="mi-NZ"/>
        </w:rPr>
        <w:t>This can be offered in Māori or other languages and recognises a range of faiths.</w:t>
      </w:r>
    </w:p>
    <w:p w14:paraId="73FE3B38" w14:textId="77777777" w:rsidR="005E77CC" w:rsidRPr="001211C4" w:rsidRDefault="005E77CC" w:rsidP="005E77CC">
      <w:pPr>
        <w:pStyle w:val="ListParagraph"/>
        <w:numPr>
          <w:ilvl w:val="1"/>
          <w:numId w:val="3"/>
        </w:numPr>
        <w:rPr>
          <w:rFonts w:asciiTheme="majorHAnsi" w:hAnsiTheme="majorHAnsi" w:cstheme="majorHAnsi"/>
          <w:lang w:val="mi-NZ"/>
        </w:rPr>
      </w:pPr>
      <w:r w:rsidRPr="001211C4">
        <w:rPr>
          <w:rFonts w:asciiTheme="majorHAnsi" w:hAnsiTheme="majorHAnsi" w:cstheme="majorHAnsi"/>
          <w:lang w:val="mi-NZ"/>
        </w:rPr>
        <w:t>A hymn can be offered in support of the prayer.</w:t>
      </w:r>
    </w:p>
    <w:p w14:paraId="7B32C7EE" w14:textId="687D617D" w:rsidR="005E77CC" w:rsidRPr="001211C4" w:rsidRDefault="005E77CC" w:rsidP="005E77CC">
      <w:pPr>
        <w:pStyle w:val="ListParagraph"/>
        <w:numPr>
          <w:ilvl w:val="0"/>
          <w:numId w:val="3"/>
        </w:numPr>
        <w:rPr>
          <w:rFonts w:asciiTheme="majorHAnsi" w:hAnsiTheme="majorHAnsi" w:cstheme="majorHAnsi"/>
          <w:lang w:val="mi-NZ"/>
        </w:rPr>
      </w:pPr>
      <w:r w:rsidRPr="001211C4">
        <w:rPr>
          <w:rFonts w:asciiTheme="majorHAnsi" w:hAnsiTheme="majorHAnsi" w:cstheme="majorHAnsi"/>
          <w:lang w:val="mi-NZ"/>
        </w:rPr>
        <w:t>As tangata whenua/host</w:t>
      </w:r>
      <w:r w:rsidR="0081454F" w:rsidRPr="001211C4">
        <w:rPr>
          <w:rFonts w:asciiTheme="majorHAnsi" w:hAnsiTheme="majorHAnsi" w:cstheme="majorHAnsi"/>
          <w:lang w:val="mi-NZ"/>
        </w:rPr>
        <w:t xml:space="preserve"> </w:t>
      </w:r>
      <w:r w:rsidRPr="001211C4">
        <w:rPr>
          <w:rFonts w:asciiTheme="majorHAnsi" w:hAnsiTheme="majorHAnsi" w:cstheme="majorHAnsi"/>
          <w:lang w:val="mi-NZ"/>
        </w:rPr>
        <w:t>will need to have a lead speaker that has competent Te Reo Māori skills to maintain formal requirements. These include:</w:t>
      </w:r>
    </w:p>
    <w:p w14:paraId="662CE793" w14:textId="77777777" w:rsidR="005E77CC" w:rsidRPr="001211C4" w:rsidRDefault="005E77CC" w:rsidP="005E77CC">
      <w:pPr>
        <w:pStyle w:val="ListParagraph"/>
        <w:numPr>
          <w:ilvl w:val="1"/>
          <w:numId w:val="3"/>
        </w:numPr>
        <w:rPr>
          <w:rFonts w:asciiTheme="majorHAnsi" w:hAnsiTheme="majorHAnsi" w:cstheme="majorHAnsi"/>
          <w:lang w:val="mi-NZ"/>
        </w:rPr>
      </w:pPr>
      <w:r w:rsidRPr="001211C4">
        <w:rPr>
          <w:rFonts w:asciiTheme="majorHAnsi" w:hAnsiTheme="majorHAnsi" w:cstheme="majorHAnsi"/>
          <w:lang w:val="mi-NZ"/>
        </w:rPr>
        <w:t>Ability to mihi/greet those gathered.</w:t>
      </w:r>
    </w:p>
    <w:p w14:paraId="63BCE4D1" w14:textId="77777777" w:rsidR="005E77CC" w:rsidRPr="001211C4" w:rsidRDefault="005E77CC" w:rsidP="005E77CC">
      <w:pPr>
        <w:pStyle w:val="ListParagraph"/>
        <w:numPr>
          <w:ilvl w:val="1"/>
          <w:numId w:val="3"/>
        </w:numPr>
        <w:rPr>
          <w:rFonts w:asciiTheme="majorHAnsi" w:hAnsiTheme="majorHAnsi" w:cstheme="majorHAnsi"/>
          <w:lang w:val="mi-NZ"/>
        </w:rPr>
      </w:pPr>
      <w:r w:rsidRPr="001211C4">
        <w:rPr>
          <w:rFonts w:asciiTheme="majorHAnsi" w:hAnsiTheme="majorHAnsi" w:cstheme="majorHAnsi"/>
          <w:lang w:val="mi-NZ"/>
        </w:rPr>
        <w:t>Ability to acknowledge the kaupapa/reason/purpose for coming together.</w:t>
      </w:r>
    </w:p>
    <w:p w14:paraId="60A30DC6" w14:textId="77777777" w:rsidR="005E77CC" w:rsidRPr="001211C4" w:rsidRDefault="005E77CC" w:rsidP="005E77CC">
      <w:pPr>
        <w:pStyle w:val="ListParagraph"/>
        <w:numPr>
          <w:ilvl w:val="1"/>
          <w:numId w:val="3"/>
        </w:numPr>
        <w:rPr>
          <w:rFonts w:asciiTheme="majorHAnsi" w:hAnsiTheme="majorHAnsi" w:cstheme="majorHAnsi"/>
          <w:lang w:val="mi-NZ"/>
        </w:rPr>
      </w:pPr>
      <w:r w:rsidRPr="001211C4">
        <w:rPr>
          <w:rFonts w:asciiTheme="majorHAnsi" w:hAnsiTheme="majorHAnsi" w:cstheme="majorHAnsi"/>
          <w:lang w:val="mi-NZ"/>
        </w:rPr>
        <w:t>Ability to mihi/acknowledge key individuals including guests for attendance and contribution.</w:t>
      </w:r>
    </w:p>
    <w:p w14:paraId="6A545BB0" w14:textId="77777777" w:rsidR="005E77CC" w:rsidRPr="001211C4" w:rsidRDefault="005E77CC" w:rsidP="005E77CC">
      <w:pPr>
        <w:pStyle w:val="ListParagraph"/>
        <w:numPr>
          <w:ilvl w:val="0"/>
          <w:numId w:val="3"/>
        </w:numPr>
        <w:rPr>
          <w:rFonts w:asciiTheme="majorHAnsi" w:hAnsiTheme="majorHAnsi" w:cstheme="majorHAnsi"/>
          <w:lang w:val="mi-NZ"/>
        </w:rPr>
      </w:pPr>
      <w:r w:rsidRPr="001211C4">
        <w:rPr>
          <w:rFonts w:asciiTheme="majorHAnsi" w:hAnsiTheme="majorHAnsi" w:cstheme="majorHAnsi"/>
          <w:lang w:val="mi-NZ"/>
        </w:rPr>
        <w:t>A waiata/song needs to be offered per speaker on the host side.</w:t>
      </w:r>
    </w:p>
    <w:p w14:paraId="414E6B52" w14:textId="77777777" w:rsidR="005E77CC" w:rsidRPr="001211C4" w:rsidRDefault="005E77CC" w:rsidP="005E77CC">
      <w:pPr>
        <w:pStyle w:val="ListParagraph"/>
        <w:numPr>
          <w:ilvl w:val="0"/>
          <w:numId w:val="3"/>
        </w:numPr>
        <w:rPr>
          <w:rFonts w:asciiTheme="majorHAnsi" w:hAnsiTheme="majorHAnsi" w:cstheme="majorHAnsi"/>
          <w:lang w:val="mi-NZ"/>
        </w:rPr>
      </w:pPr>
      <w:r w:rsidRPr="001211C4">
        <w:rPr>
          <w:rFonts w:asciiTheme="majorHAnsi" w:hAnsiTheme="majorHAnsi" w:cstheme="majorHAnsi"/>
          <w:lang w:val="mi-NZ"/>
        </w:rPr>
        <w:t>Other speakers from the host side can continue to speak, so long as they meet speaking requirements and have an appropriate song.</w:t>
      </w:r>
    </w:p>
    <w:p w14:paraId="7877F058" w14:textId="77777777" w:rsidR="005E77CC" w:rsidRPr="001211C4" w:rsidRDefault="005E77CC" w:rsidP="005E77CC">
      <w:pPr>
        <w:pStyle w:val="ListParagraph"/>
        <w:numPr>
          <w:ilvl w:val="0"/>
          <w:numId w:val="3"/>
        </w:numPr>
        <w:rPr>
          <w:rFonts w:asciiTheme="majorHAnsi" w:hAnsiTheme="majorHAnsi" w:cstheme="majorHAnsi"/>
          <w:lang w:val="mi-NZ"/>
        </w:rPr>
      </w:pPr>
      <w:r w:rsidRPr="001211C4">
        <w:rPr>
          <w:rFonts w:asciiTheme="majorHAnsi" w:hAnsiTheme="majorHAnsi" w:cstheme="majorHAnsi"/>
          <w:lang w:val="mi-NZ"/>
        </w:rPr>
        <w:t>Manuhiri/guests are given an opportunity to respond:</w:t>
      </w:r>
    </w:p>
    <w:p w14:paraId="2C4C4BB8" w14:textId="77777777" w:rsidR="005E77CC" w:rsidRPr="001211C4" w:rsidRDefault="005E77CC" w:rsidP="005E77CC">
      <w:pPr>
        <w:pStyle w:val="ListParagraph"/>
        <w:numPr>
          <w:ilvl w:val="1"/>
          <w:numId w:val="3"/>
        </w:numPr>
        <w:rPr>
          <w:rFonts w:asciiTheme="majorHAnsi" w:hAnsiTheme="majorHAnsi" w:cstheme="majorHAnsi"/>
          <w:lang w:val="mi-NZ"/>
        </w:rPr>
      </w:pPr>
      <w:r w:rsidRPr="001211C4">
        <w:rPr>
          <w:rFonts w:asciiTheme="majorHAnsi" w:hAnsiTheme="majorHAnsi" w:cstheme="majorHAnsi"/>
          <w:lang w:val="mi-NZ"/>
        </w:rPr>
        <w:t>Guests can respond again having a competent speaker and song to support.</w:t>
      </w:r>
    </w:p>
    <w:p w14:paraId="06018D1E" w14:textId="77777777" w:rsidR="005E77CC" w:rsidRPr="001211C4" w:rsidRDefault="005E77CC" w:rsidP="005E77CC">
      <w:pPr>
        <w:pStyle w:val="ListParagraph"/>
        <w:numPr>
          <w:ilvl w:val="1"/>
          <w:numId w:val="3"/>
        </w:numPr>
        <w:rPr>
          <w:rFonts w:asciiTheme="majorHAnsi" w:hAnsiTheme="majorHAnsi" w:cstheme="majorHAnsi"/>
          <w:lang w:val="mi-NZ"/>
        </w:rPr>
      </w:pPr>
      <w:r w:rsidRPr="001211C4">
        <w:rPr>
          <w:rFonts w:asciiTheme="majorHAnsi" w:hAnsiTheme="majorHAnsi" w:cstheme="majorHAnsi"/>
          <w:lang w:val="mi-NZ"/>
        </w:rPr>
        <w:t>They may choose to not speak formally and wait for the whakatau to be closed – this is acceptable.</w:t>
      </w:r>
    </w:p>
    <w:p w14:paraId="048F5F04" w14:textId="77777777" w:rsidR="005E77CC" w:rsidRPr="001211C4" w:rsidRDefault="005E77CC" w:rsidP="005E77CC">
      <w:pPr>
        <w:pStyle w:val="ListParagraph"/>
        <w:numPr>
          <w:ilvl w:val="0"/>
          <w:numId w:val="3"/>
        </w:numPr>
        <w:rPr>
          <w:rFonts w:asciiTheme="majorHAnsi" w:hAnsiTheme="majorHAnsi" w:cstheme="majorHAnsi"/>
          <w:lang w:val="mi-NZ"/>
        </w:rPr>
      </w:pPr>
      <w:r w:rsidRPr="001211C4">
        <w:rPr>
          <w:rFonts w:asciiTheme="majorHAnsi" w:hAnsiTheme="majorHAnsi" w:cstheme="majorHAnsi"/>
          <w:lang w:val="mi-NZ"/>
        </w:rPr>
        <w:t>Once the guests have concluded, the hosts can commence whakawhanaungatanga/relationship building with a round the table of introductions commencing with the host supporting group and then the guests.</w:t>
      </w:r>
    </w:p>
    <w:p w14:paraId="0B3CC8E4" w14:textId="77777777" w:rsidR="005E77CC" w:rsidRPr="001211C4" w:rsidRDefault="005E77CC" w:rsidP="005E77CC">
      <w:pPr>
        <w:pStyle w:val="ListParagraph"/>
        <w:numPr>
          <w:ilvl w:val="0"/>
          <w:numId w:val="3"/>
        </w:numPr>
        <w:rPr>
          <w:rFonts w:asciiTheme="majorHAnsi" w:hAnsiTheme="majorHAnsi" w:cstheme="majorHAnsi"/>
          <w:lang w:val="mi-NZ"/>
        </w:rPr>
      </w:pPr>
      <w:r w:rsidRPr="001211C4">
        <w:rPr>
          <w:rFonts w:asciiTheme="majorHAnsi" w:hAnsiTheme="majorHAnsi" w:cstheme="majorHAnsi"/>
          <w:lang w:val="mi-NZ"/>
        </w:rPr>
        <w:t xml:space="preserve">Once all activity has been completed, karakia can be completed to close the whakatau by anyone that is offered the opportunity by the hosts. </w:t>
      </w:r>
    </w:p>
    <w:p w14:paraId="35F37B4A" w14:textId="21309E2A" w:rsidR="005E77CC" w:rsidRPr="001211C4" w:rsidRDefault="005E77CC" w:rsidP="005E77CC">
      <w:pPr>
        <w:pStyle w:val="ListParagraph"/>
        <w:numPr>
          <w:ilvl w:val="1"/>
          <w:numId w:val="3"/>
        </w:numPr>
        <w:rPr>
          <w:rFonts w:asciiTheme="majorHAnsi" w:hAnsiTheme="majorHAnsi" w:cstheme="majorHAnsi"/>
          <w:lang w:val="mi-NZ"/>
        </w:rPr>
      </w:pPr>
      <w:r w:rsidRPr="001211C4">
        <w:rPr>
          <w:rFonts w:asciiTheme="majorHAnsi" w:hAnsiTheme="majorHAnsi" w:cstheme="majorHAnsi"/>
          <w:lang w:val="mi-NZ"/>
        </w:rPr>
        <w:t>A hymn can be offered to enhance the occa</w:t>
      </w:r>
      <w:r w:rsidR="00784704" w:rsidRPr="001211C4">
        <w:rPr>
          <w:rFonts w:asciiTheme="majorHAnsi" w:hAnsiTheme="majorHAnsi" w:cstheme="majorHAnsi"/>
          <w:lang w:val="mi-NZ"/>
        </w:rPr>
        <w:t>s</w:t>
      </w:r>
      <w:r w:rsidRPr="001211C4">
        <w:rPr>
          <w:rFonts w:asciiTheme="majorHAnsi" w:hAnsiTheme="majorHAnsi" w:cstheme="majorHAnsi"/>
          <w:lang w:val="mi-NZ"/>
        </w:rPr>
        <w:t>ion and prayer.</w:t>
      </w:r>
    </w:p>
    <w:p w14:paraId="50CC6776" w14:textId="493A84C4" w:rsidR="005E77CC" w:rsidRPr="000B6DDE" w:rsidRDefault="005E77CC" w:rsidP="005E77CC">
      <w:pPr>
        <w:pStyle w:val="ListParagraph"/>
        <w:numPr>
          <w:ilvl w:val="0"/>
          <w:numId w:val="3"/>
        </w:numPr>
      </w:pPr>
      <w:r w:rsidRPr="001211C4">
        <w:rPr>
          <w:rFonts w:asciiTheme="majorHAnsi" w:hAnsiTheme="majorHAnsi" w:cstheme="majorHAnsi"/>
          <w:lang w:val="mi-NZ"/>
        </w:rPr>
        <w:t>An option may have the hosts prepare kai/catering for sharing together.</w:t>
      </w:r>
    </w:p>
    <w:sectPr w:rsidR="005E77CC" w:rsidRPr="000B6DDE" w:rsidSect="00015C76">
      <w:headerReference w:type="default" r:id="rId7"/>
      <w:footerReference w:type="default" r:id="rId8"/>
      <w:pgSz w:w="11900" w:h="16840"/>
      <w:pgMar w:top="2688" w:right="1871" w:bottom="156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33AB3" w14:textId="77777777" w:rsidR="00A65F70" w:rsidRDefault="00A65F70" w:rsidP="0051517A">
      <w:r>
        <w:separator/>
      </w:r>
    </w:p>
  </w:endnote>
  <w:endnote w:type="continuationSeparator" w:id="0">
    <w:p w14:paraId="3FA4AD73" w14:textId="77777777" w:rsidR="00A65F70" w:rsidRDefault="00A65F70" w:rsidP="0051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0047" w14:textId="57CBAAE8" w:rsidR="003F443D" w:rsidRDefault="00800C3B">
    <w:pPr>
      <w:pStyle w:val="Footer"/>
    </w:pPr>
    <w:r>
      <w:rPr>
        <w:noProof/>
        <w:lang w:eastAsia="en-NZ"/>
      </w:rPr>
      <mc:AlternateContent>
        <mc:Choice Requires="wps">
          <w:drawing>
            <wp:anchor distT="0" distB="0" distL="114300" distR="114300" simplePos="0" relativeHeight="251672576" behindDoc="0" locked="0" layoutInCell="1" allowOverlap="1" wp14:anchorId="3B68618B" wp14:editId="0E709DF7">
              <wp:simplePos x="0" y="0"/>
              <wp:positionH relativeFrom="column">
                <wp:posOffset>-113030</wp:posOffset>
              </wp:positionH>
              <wp:positionV relativeFrom="paragraph">
                <wp:posOffset>11007</wp:posOffset>
              </wp:positionV>
              <wp:extent cx="1371189" cy="286423"/>
              <wp:effectExtent l="0" t="0" r="0" b="0"/>
              <wp:wrapNone/>
              <wp:docPr id="4" name="Text Box 4"/>
              <wp:cNvGraphicFramePr/>
              <a:graphic xmlns:a="http://schemas.openxmlformats.org/drawingml/2006/main">
                <a:graphicData uri="http://schemas.microsoft.com/office/word/2010/wordprocessingShape">
                  <wps:wsp>
                    <wps:cNvSpPr txBox="1"/>
                    <wps:spPr>
                      <a:xfrm>
                        <a:off x="0" y="0"/>
                        <a:ext cx="1371189" cy="286423"/>
                      </a:xfrm>
                      <a:prstGeom prst="rect">
                        <a:avLst/>
                      </a:prstGeom>
                      <a:noFill/>
                      <a:ln w="6350">
                        <a:noFill/>
                      </a:ln>
                    </wps:spPr>
                    <wps:txbx>
                      <w:txbxContent>
                        <w:p w14:paraId="344B0DDD" w14:textId="12E033FA" w:rsidR="00800C3B" w:rsidRPr="00800C3B" w:rsidRDefault="00800C3B">
                          <w:pPr>
                            <w:rPr>
                              <w:color w:val="0169A5"/>
                              <w:sz w:val="20"/>
                              <w:szCs w:val="20"/>
                              <w:lang w:val="en-US"/>
                            </w:rPr>
                          </w:pPr>
                          <w:r w:rsidRPr="00800C3B">
                            <w:rPr>
                              <w:color w:val="0169A5"/>
                              <w:sz w:val="20"/>
                              <w:szCs w:val="20"/>
                              <w:lang w:val="en-US"/>
                            </w:rPr>
                            <w:t>procare.co.nz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8618B" id="_x0000_t202" coordsize="21600,21600" o:spt="202" path="m,l,21600r21600,l21600,xe">
              <v:stroke joinstyle="miter"/>
              <v:path gradientshapeok="t" o:connecttype="rect"/>
            </v:shapetype>
            <v:shape id="Text Box 4" o:spid="_x0000_s1026" type="#_x0000_t202" style="position:absolute;margin-left:-8.9pt;margin-top:.85pt;width:107.9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" filled="f" stroked="f" strokeweight=".5pt">
              <v:textbox>
                <w:txbxContent>
                  <w:p w14:paraId="344B0DDD" w14:textId="12E033FA" w:rsidR="00800C3B" w:rsidRPr="00800C3B" w:rsidRDefault="00800C3B">
                    <w:pPr>
                      <w:rPr>
                        <w:color w:val="0169A5"/>
                        <w:sz w:val="20"/>
                        <w:szCs w:val="20"/>
                        <w:lang w:val="en-US"/>
                      </w:rPr>
                    </w:pPr>
                    <w:r w:rsidRPr="00800C3B">
                      <w:rPr>
                        <w:color w:val="0169A5"/>
                        <w:sz w:val="20"/>
                        <w:szCs w:val="20"/>
                        <w:lang w:val="en-US"/>
                      </w:rPr>
                      <w:t>procare.co.nz</w:t>
                    </w:r>
                  </w:p>
                </w:txbxContent>
              </v:textbox>
            </v:shape>
          </w:pict>
        </mc:Fallback>
      </mc:AlternateContent>
    </w:r>
    <w:r w:rsidR="000012F1">
      <w:rPr>
        <w:noProof/>
        <w:lang w:eastAsia="en-NZ"/>
      </w:rPr>
      <w:drawing>
        <wp:anchor distT="0" distB="0" distL="114300" distR="114300" simplePos="0" relativeHeight="251671552" behindDoc="0" locked="0" layoutInCell="1" allowOverlap="1" wp14:anchorId="3965B2CF" wp14:editId="7432CD9C">
          <wp:simplePos x="0" y="0"/>
          <wp:positionH relativeFrom="column">
            <wp:posOffset>4106545</wp:posOffset>
          </wp:positionH>
          <wp:positionV relativeFrom="paragraph">
            <wp:posOffset>97881</wp:posOffset>
          </wp:positionV>
          <wp:extent cx="1943100" cy="114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oCare_Tagline.eps"/>
                  <pic:cNvPicPr/>
                </pic:nvPicPr>
                <pic:blipFill>
                  <a:blip r:embed="rId1">
                    <a:extLst>
                      <a:ext uri="{28A0092B-C50C-407E-A947-70E740481C1C}">
                        <a14:useLocalDpi xmlns:a14="http://schemas.microsoft.com/office/drawing/2010/main" val="0"/>
                      </a:ext>
                    </a:extLst>
                  </a:blip>
                  <a:stretch>
                    <a:fillRect/>
                  </a:stretch>
                </pic:blipFill>
                <pic:spPr>
                  <a:xfrm>
                    <a:off x="0" y="0"/>
                    <a:ext cx="1943100" cy="114300"/>
                  </a:xfrm>
                  <a:prstGeom prst="rect">
                    <a:avLst/>
                  </a:prstGeom>
                </pic:spPr>
              </pic:pic>
            </a:graphicData>
          </a:graphic>
          <wp14:sizeRelH relativeFrom="page">
            <wp14:pctWidth>0</wp14:pctWidth>
          </wp14:sizeRelH>
          <wp14:sizeRelV relativeFrom="page">
            <wp14:pctHeight>0</wp14:pctHeight>
          </wp14:sizeRelV>
        </wp:anchor>
      </w:drawing>
    </w:r>
    <w:r w:rsidR="003F443D">
      <w:rPr>
        <w:noProof/>
        <w:lang w:eastAsia="en-NZ"/>
      </w:rPr>
      <mc:AlternateContent>
        <mc:Choice Requires="wps">
          <w:drawing>
            <wp:anchor distT="0" distB="0" distL="114300" distR="114300" simplePos="0" relativeHeight="251661312" behindDoc="1" locked="0" layoutInCell="1" allowOverlap="1" wp14:anchorId="1B121974" wp14:editId="274988DE">
              <wp:simplePos x="0" y="0"/>
              <wp:positionH relativeFrom="column">
                <wp:posOffset>-2343714</wp:posOffset>
              </wp:positionH>
              <wp:positionV relativeFrom="paragraph">
                <wp:posOffset>-2300141</wp:posOffset>
              </wp:positionV>
              <wp:extent cx="4570244" cy="4504503"/>
              <wp:effectExtent l="0" t="0" r="1905" b="4445"/>
              <wp:wrapNone/>
              <wp:docPr id="10" name="Oval 10"/>
              <wp:cNvGraphicFramePr/>
              <a:graphic xmlns:a="http://schemas.openxmlformats.org/drawingml/2006/main">
                <a:graphicData uri="http://schemas.microsoft.com/office/word/2010/wordprocessingShape">
                  <wps:wsp>
                    <wps:cNvSpPr/>
                    <wps:spPr>
                      <a:xfrm>
                        <a:off x="0" y="0"/>
                        <a:ext cx="4570244" cy="4504503"/>
                      </a:xfrm>
                      <a:prstGeom prst="ellipse">
                        <a:avLst/>
                      </a:prstGeom>
                      <a:solidFill>
                        <a:srgbClr val="F5F7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DC5B6" id="Oval 10" o:spid="_x0000_s1026" style="position:absolute;margin-left:-184.55pt;margin-top:-181.1pt;width:359.85pt;height:35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" fillcolor="#f5f7fc"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F1D93" w14:textId="77777777" w:rsidR="00A65F70" w:rsidRDefault="00A65F70" w:rsidP="0051517A">
      <w:r>
        <w:separator/>
      </w:r>
    </w:p>
  </w:footnote>
  <w:footnote w:type="continuationSeparator" w:id="0">
    <w:p w14:paraId="6F9BDF6E" w14:textId="77777777" w:rsidR="00A65F70" w:rsidRDefault="00A65F70" w:rsidP="0051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8A39" w14:textId="77777777" w:rsidR="003F443D" w:rsidRDefault="001357E3">
    <w:pPr>
      <w:pStyle w:val="Header"/>
    </w:pPr>
    <w:r>
      <w:rPr>
        <w:noProof/>
        <w:lang w:eastAsia="en-NZ"/>
      </w:rPr>
      <w:drawing>
        <wp:anchor distT="0" distB="0" distL="114300" distR="114300" simplePos="0" relativeHeight="251664384" behindDoc="0" locked="0" layoutInCell="1" allowOverlap="1" wp14:anchorId="491742FA" wp14:editId="065CC62D">
          <wp:simplePos x="0" y="0"/>
          <wp:positionH relativeFrom="column">
            <wp:posOffset>-528955</wp:posOffset>
          </wp:positionH>
          <wp:positionV relativeFrom="paragraph">
            <wp:posOffset>-71755</wp:posOffset>
          </wp:positionV>
          <wp:extent cx="2156400" cy="403200"/>
          <wp:effectExtent l="0" t="0" r="317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C_Logo_CMYK.eps"/>
                  <pic:cNvPicPr/>
                </pic:nvPicPr>
                <pic:blipFill>
                  <a:blip r:embed="rId1">
                    <a:extLst>
                      <a:ext uri="{28A0092B-C50C-407E-A947-70E740481C1C}">
                        <a14:useLocalDpi xmlns:a14="http://schemas.microsoft.com/office/drawing/2010/main" val="0"/>
                      </a:ext>
                    </a:extLst>
                  </a:blip>
                  <a:stretch>
                    <a:fillRect/>
                  </a:stretch>
                </pic:blipFill>
                <pic:spPr>
                  <a:xfrm>
                    <a:off x="0" y="0"/>
                    <a:ext cx="2156400" cy="403200"/>
                  </a:xfrm>
                  <a:prstGeom prst="rect">
                    <a:avLst/>
                  </a:prstGeom>
                </pic:spPr>
              </pic:pic>
            </a:graphicData>
          </a:graphic>
          <wp14:sizeRelH relativeFrom="page">
            <wp14:pctWidth>0</wp14:pctWidth>
          </wp14:sizeRelH>
          <wp14:sizeRelV relativeFrom="page">
            <wp14:pctHeight>0</wp14:pctHeight>
          </wp14:sizeRelV>
        </wp:anchor>
      </w:drawing>
    </w:r>
    <w:r w:rsidR="003F443D">
      <w:rPr>
        <w:noProof/>
        <w:lang w:eastAsia="en-NZ"/>
      </w:rPr>
      <mc:AlternateContent>
        <mc:Choice Requires="wps">
          <w:drawing>
            <wp:anchor distT="0" distB="0" distL="114300" distR="114300" simplePos="0" relativeHeight="251660287" behindDoc="0" locked="0" layoutInCell="1" allowOverlap="1" wp14:anchorId="4010B52A" wp14:editId="5C02DA7B">
              <wp:simplePos x="0" y="0"/>
              <wp:positionH relativeFrom="column">
                <wp:posOffset>-2337622</wp:posOffset>
              </wp:positionH>
              <wp:positionV relativeFrom="paragraph">
                <wp:posOffset>-2481132</wp:posOffset>
              </wp:positionV>
              <wp:extent cx="5829001" cy="5829001"/>
              <wp:effectExtent l="0" t="0" r="635" b="635"/>
              <wp:wrapNone/>
              <wp:docPr id="9" name="Oval 9"/>
              <wp:cNvGraphicFramePr/>
              <a:graphic xmlns:a="http://schemas.openxmlformats.org/drawingml/2006/main">
                <a:graphicData uri="http://schemas.microsoft.com/office/word/2010/wordprocessingShape">
                  <wps:wsp>
                    <wps:cNvSpPr/>
                    <wps:spPr>
                      <a:xfrm>
                        <a:off x="0" y="0"/>
                        <a:ext cx="5829001" cy="5829001"/>
                      </a:xfrm>
                      <a:prstGeom prst="ellipse">
                        <a:avLst/>
                      </a:prstGeom>
                      <a:solidFill>
                        <a:srgbClr val="F5F7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EACFD" id="Oval 9" o:spid="_x0000_s1026" style="position:absolute;margin-left:-184.05pt;margin-top:-195.35pt;width:459pt;height:459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" fillcolor="#f5f7fc" stroked="f" strokeweight="1pt">
              <v:stroke joinstyle="miter"/>
            </v:oval>
          </w:pict>
        </mc:Fallback>
      </mc:AlternateContent>
    </w:r>
    <w:r w:rsidR="003F443D">
      <w:rPr>
        <w:noProof/>
        <w:lang w:eastAsia="en-NZ"/>
      </w:rPr>
      <mc:AlternateContent>
        <mc:Choice Requires="wps">
          <w:drawing>
            <wp:anchor distT="0" distB="0" distL="114300" distR="114300" simplePos="0" relativeHeight="251663360" behindDoc="0" locked="0" layoutInCell="1" allowOverlap="1" wp14:anchorId="748492CC" wp14:editId="1D008E74">
              <wp:simplePos x="0" y="0"/>
              <wp:positionH relativeFrom="column">
                <wp:posOffset>5117017</wp:posOffset>
              </wp:positionH>
              <wp:positionV relativeFrom="paragraph">
                <wp:posOffset>3659206</wp:posOffset>
              </wp:positionV>
              <wp:extent cx="3254562" cy="3207321"/>
              <wp:effectExtent l="0" t="0" r="0" b="6350"/>
              <wp:wrapNone/>
              <wp:docPr id="11" name="Oval 11"/>
              <wp:cNvGraphicFramePr/>
              <a:graphic xmlns:a="http://schemas.openxmlformats.org/drawingml/2006/main">
                <a:graphicData uri="http://schemas.microsoft.com/office/word/2010/wordprocessingShape">
                  <wps:wsp>
                    <wps:cNvSpPr/>
                    <wps:spPr>
                      <a:xfrm>
                        <a:off x="0" y="0"/>
                        <a:ext cx="3254562" cy="3207321"/>
                      </a:xfrm>
                      <a:prstGeom prst="ellipse">
                        <a:avLst/>
                      </a:prstGeom>
                      <a:solidFill>
                        <a:srgbClr val="F5F7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DF6F8" id="Oval 11" o:spid="_x0000_s1026" style="position:absolute;margin-left:402.9pt;margin-top:288.15pt;width:256.25pt;height:25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" fillcolor="#f5f7fc" stroked="f"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211A3"/>
    <w:multiLevelType w:val="hybridMultilevel"/>
    <w:tmpl w:val="7DEE89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D337CA3"/>
    <w:multiLevelType w:val="hybridMultilevel"/>
    <w:tmpl w:val="9998C4B6"/>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7E2F2ED8"/>
    <w:multiLevelType w:val="hybridMultilevel"/>
    <w:tmpl w:val="8A5EBBF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A4"/>
    <w:rsid w:val="000012F1"/>
    <w:rsid w:val="00004EBF"/>
    <w:rsid w:val="00015C76"/>
    <w:rsid w:val="000278B7"/>
    <w:rsid w:val="000654AB"/>
    <w:rsid w:val="000A3075"/>
    <w:rsid w:val="000E40E8"/>
    <w:rsid w:val="001211C4"/>
    <w:rsid w:val="001357E3"/>
    <w:rsid w:val="0013698F"/>
    <w:rsid w:val="001D4B9C"/>
    <w:rsid w:val="00270B1C"/>
    <w:rsid w:val="003B658B"/>
    <w:rsid w:val="003F443D"/>
    <w:rsid w:val="00447C46"/>
    <w:rsid w:val="0051517A"/>
    <w:rsid w:val="005610C8"/>
    <w:rsid w:val="005C0CF7"/>
    <w:rsid w:val="005E77CC"/>
    <w:rsid w:val="0068280D"/>
    <w:rsid w:val="006F3250"/>
    <w:rsid w:val="00701D88"/>
    <w:rsid w:val="00784704"/>
    <w:rsid w:val="007A69A4"/>
    <w:rsid w:val="00800C3B"/>
    <w:rsid w:val="00806310"/>
    <w:rsid w:val="0081454F"/>
    <w:rsid w:val="00850B22"/>
    <w:rsid w:val="008B3D63"/>
    <w:rsid w:val="00A42E36"/>
    <w:rsid w:val="00A65F70"/>
    <w:rsid w:val="00BB2CB3"/>
    <w:rsid w:val="00C970C6"/>
    <w:rsid w:val="00DA2541"/>
    <w:rsid w:val="00F25AB8"/>
    <w:rsid w:val="00FF6F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92865D"/>
  <w15:chartTrackingRefBased/>
  <w15:docId w15:val="{AC15C021-841D-2747-A555-85447631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77C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77CC"/>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B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B9C"/>
    <w:rPr>
      <w:rFonts w:ascii="Times New Roman" w:hAnsi="Times New Roman" w:cs="Times New Roman"/>
      <w:sz w:val="18"/>
      <w:szCs w:val="18"/>
    </w:rPr>
  </w:style>
  <w:style w:type="paragraph" w:customStyle="1" w:styleId="BasicParagraph">
    <w:name w:val="[Basic Paragraph]"/>
    <w:basedOn w:val="Normal"/>
    <w:uiPriority w:val="99"/>
    <w:rsid w:val="001D4B9C"/>
    <w:pPr>
      <w:autoSpaceDE w:val="0"/>
      <w:autoSpaceDN w:val="0"/>
      <w:adjustRightInd w:val="0"/>
      <w:spacing w:line="288" w:lineRule="auto"/>
      <w:textAlignment w:val="center"/>
    </w:pPr>
    <w:rPr>
      <w:rFonts w:ascii="Minion Pro" w:hAnsi="Minion Pro" w:cs="Minion Pro"/>
      <w:color w:val="000000"/>
      <w:lang w:val="en-US"/>
    </w:rPr>
  </w:style>
  <w:style w:type="paragraph" w:styleId="Header">
    <w:name w:val="header"/>
    <w:basedOn w:val="Normal"/>
    <w:link w:val="HeaderChar"/>
    <w:uiPriority w:val="99"/>
    <w:unhideWhenUsed/>
    <w:rsid w:val="0051517A"/>
    <w:pPr>
      <w:tabs>
        <w:tab w:val="center" w:pos="4680"/>
        <w:tab w:val="right" w:pos="9360"/>
      </w:tabs>
    </w:pPr>
  </w:style>
  <w:style w:type="character" w:customStyle="1" w:styleId="HeaderChar">
    <w:name w:val="Header Char"/>
    <w:basedOn w:val="DefaultParagraphFont"/>
    <w:link w:val="Header"/>
    <w:uiPriority w:val="99"/>
    <w:rsid w:val="0051517A"/>
  </w:style>
  <w:style w:type="paragraph" w:styleId="Footer">
    <w:name w:val="footer"/>
    <w:basedOn w:val="Normal"/>
    <w:link w:val="FooterChar"/>
    <w:uiPriority w:val="99"/>
    <w:unhideWhenUsed/>
    <w:rsid w:val="0051517A"/>
    <w:pPr>
      <w:tabs>
        <w:tab w:val="center" w:pos="4680"/>
        <w:tab w:val="right" w:pos="9360"/>
      </w:tabs>
    </w:pPr>
  </w:style>
  <w:style w:type="character" w:customStyle="1" w:styleId="FooterChar">
    <w:name w:val="Footer Char"/>
    <w:basedOn w:val="DefaultParagraphFont"/>
    <w:link w:val="Footer"/>
    <w:uiPriority w:val="99"/>
    <w:rsid w:val="0051517A"/>
  </w:style>
  <w:style w:type="paragraph" w:styleId="Title">
    <w:name w:val="Title"/>
    <w:basedOn w:val="Normal"/>
    <w:next w:val="Normal"/>
    <w:link w:val="TitleChar"/>
    <w:uiPriority w:val="10"/>
    <w:qFormat/>
    <w:rsid w:val="00A42E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E36"/>
    <w:rPr>
      <w:rFonts w:asciiTheme="majorHAnsi" w:eastAsiaTheme="majorEastAsia" w:hAnsiTheme="majorHAnsi" w:cstheme="majorBidi"/>
      <w:spacing w:val="-10"/>
      <w:kern w:val="28"/>
      <w:sz w:val="56"/>
      <w:szCs w:val="56"/>
    </w:rPr>
  </w:style>
  <w:style w:type="character" w:styleId="Hyperlink">
    <w:name w:val="Hyperlink"/>
    <w:uiPriority w:val="99"/>
    <w:unhideWhenUsed/>
    <w:rsid w:val="00015C76"/>
    <w:rPr>
      <w:color w:val="0000FF"/>
      <w:u w:val="single"/>
    </w:rPr>
  </w:style>
  <w:style w:type="paragraph" w:customStyle="1" w:styleId="ProCareHeading1">
    <w:name w:val="ProCare Heading 1"/>
    <w:basedOn w:val="Normal"/>
    <w:link w:val="ProCareHeading1Char"/>
    <w:qFormat/>
    <w:rsid w:val="00015C76"/>
    <w:pPr>
      <w:autoSpaceDE w:val="0"/>
      <w:autoSpaceDN w:val="0"/>
      <w:adjustRightInd w:val="0"/>
      <w:spacing w:before="120" w:after="240"/>
      <w:jc w:val="both"/>
    </w:pPr>
    <w:rPr>
      <w:rFonts w:ascii="Calibri" w:eastAsia="Times New Roman" w:hAnsi="Calibri" w:cs="Times New Roman"/>
      <w:b/>
      <w:color w:val="0070C0"/>
      <w:spacing w:val="60"/>
      <w:sz w:val="36"/>
      <w:szCs w:val="36"/>
      <w:lang w:val="en-US" w:bidi="en-US"/>
    </w:rPr>
  </w:style>
  <w:style w:type="paragraph" w:customStyle="1" w:styleId="ProCareHeading2">
    <w:name w:val="ProCare Heading 2"/>
    <w:basedOn w:val="Normal"/>
    <w:link w:val="ProCareHeading2Char"/>
    <w:qFormat/>
    <w:rsid w:val="00015C76"/>
    <w:pPr>
      <w:spacing w:before="120" w:after="120" w:line="276" w:lineRule="auto"/>
      <w:ind w:right="380"/>
      <w:jc w:val="both"/>
    </w:pPr>
    <w:rPr>
      <w:rFonts w:ascii="Calibri" w:eastAsia="Times New Roman" w:hAnsi="Calibri" w:cs="Arial"/>
      <w:b/>
      <w:color w:val="0070C0"/>
      <w:lang w:bidi="en-US"/>
    </w:rPr>
  </w:style>
  <w:style w:type="character" w:customStyle="1" w:styleId="ProCareHeading1Char">
    <w:name w:val="ProCare Heading 1 Char"/>
    <w:link w:val="ProCareHeading1"/>
    <w:rsid w:val="00015C76"/>
    <w:rPr>
      <w:rFonts w:ascii="Calibri" w:eastAsia="Times New Roman" w:hAnsi="Calibri" w:cs="Times New Roman"/>
      <w:b/>
      <w:color w:val="0070C0"/>
      <w:spacing w:val="60"/>
      <w:sz w:val="36"/>
      <w:szCs w:val="36"/>
      <w:lang w:val="en-US" w:bidi="en-US"/>
    </w:rPr>
  </w:style>
  <w:style w:type="paragraph" w:customStyle="1" w:styleId="ProCareBody">
    <w:name w:val="ProCare Body"/>
    <w:basedOn w:val="Normal"/>
    <w:link w:val="ProCareBodyChar"/>
    <w:qFormat/>
    <w:rsid w:val="00015C76"/>
    <w:pPr>
      <w:spacing w:before="240" w:line="276" w:lineRule="auto"/>
    </w:pPr>
    <w:rPr>
      <w:rFonts w:ascii="Calibri" w:eastAsia="Calibri" w:hAnsi="Calibri" w:cs="Calibri"/>
      <w:sz w:val="22"/>
      <w:szCs w:val="22"/>
    </w:rPr>
  </w:style>
  <w:style w:type="character" w:customStyle="1" w:styleId="ProCareHeading2Char">
    <w:name w:val="ProCare Heading 2 Char"/>
    <w:link w:val="ProCareHeading2"/>
    <w:rsid w:val="00015C76"/>
    <w:rPr>
      <w:rFonts w:ascii="Calibri" w:eastAsia="Times New Roman" w:hAnsi="Calibri" w:cs="Arial"/>
      <w:b/>
      <w:color w:val="0070C0"/>
      <w:lang w:bidi="en-US"/>
    </w:rPr>
  </w:style>
  <w:style w:type="character" w:customStyle="1" w:styleId="ProCareBodyChar">
    <w:name w:val="ProCare Body Char"/>
    <w:link w:val="ProCareBody"/>
    <w:rsid w:val="00015C76"/>
    <w:rPr>
      <w:rFonts w:ascii="Calibri" w:eastAsia="Calibri" w:hAnsi="Calibri" w:cs="Calibri"/>
      <w:sz w:val="22"/>
      <w:szCs w:val="22"/>
    </w:rPr>
  </w:style>
  <w:style w:type="paragraph" w:styleId="Subtitle">
    <w:name w:val="Subtitle"/>
    <w:basedOn w:val="Normal"/>
    <w:next w:val="Normal"/>
    <w:link w:val="SubtitleChar"/>
    <w:uiPriority w:val="11"/>
    <w:qFormat/>
    <w:rsid w:val="00015C76"/>
    <w:pPr>
      <w:spacing w:before="120" w:after="60" w:line="276" w:lineRule="auto"/>
      <w:jc w:val="center"/>
      <w:outlineLvl w:val="1"/>
    </w:pPr>
    <w:rPr>
      <w:rFonts w:ascii="Calibri Light" w:eastAsia="Times New Roman" w:hAnsi="Calibri Light" w:cs="Times New Roman"/>
      <w:lang w:val="en-US" w:bidi="en-US"/>
    </w:rPr>
  </w:style>
  <w:style w:type="character" w:customStyle="1" w:styleId="SubtitleChar">
    <w:name w:val="Subtitle Char"/>
    <w:basedOn w:val="DefaultParagraphFont"/>
    <w:link w:val="Subtitle"/>
    <w:uiPriority w:val="11"/>
    <w:rsid w:val="00015C76"/>
    <w:rPr>
      <w:rFonts w:ascii="Calibri Light" w:eastAsia="Times New Roman" w:hAnsi="Calibri Light" w:cs="Times New Roman"/>
      <w:lang w:val="en-US" w:bidi="en-US"/>
    </w:rPr>
  </w:style>
  <w:style w:type="character" w:styleId="Emphasis">
    <w:name w:val="Emphasis"/>
    <w:uiPriority w:val="20"/>
    <w:qFormat/>
    <w:rsid w:val="00015C76"/>
    <w:rPr>
      <w:i/>
      <w:iCs/>
    </w:rPr>
  </w:style>
  <w:style w:type="character" w:customStyle="1" w:styleId="Heading1Char">
    <w:name w:val="Heading 1 Char"/>
    <w:basedOn w:val="DefaultParagraphFont"/>
    <w:link w:val="Heading1"/>
    <w:uiPriority w:val="9"/>
    <w:rsid w:val="005E77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77C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E77C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e10718081a6bee55ec794f318549e375">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8064651da9f971ba128248e9d2024f4e"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BD31E3-377F-44BC-8D5F-B2D240CF1B03}"/>
</file>

<file path=customXml/itemProps2.xml><?xml version="1.0" encoding="utf-8"?>
<ds:datastoreItem xmlns:ds="http://schemas.openxmlformats.org/officeDocument/2006/customXml" ds:itemID="{10752CFC-2859-4D09-B3F1-2192CF57CACB}"/>
</file>

<file path=customXml/itemProps3.xml><?xml version="1.0" encoding="utf-8"?>
<ds:datastoreItem xmlns:ds="http://schemas.openxmlformats.org/officeDocument/2006/customXml" ds:itemID="{E04D8965-F9BD-46EB-8E98-8647AC745427}"/>
</file>

<file path=docProps/app.xml><?xml version="1.0" encoding="utf-8"?>
<Properties xmlns="http://schemas.openxmlformats.org/officeDocument/2006/extended-properties" xmlns:vt="http://schemas.openxmlformats.org/officeDocument/2006/docPropsVTypes">
  <Template>Normal</Template>
  <TotalTime>24</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 Sharat Chandran</dc:creator>
  <cp:keywords/>
  <dc:description/>
  <cp:lastModifiedBy>Ilene Shen</cp:lastModifiedBy>
  <cp:revision>5</cp:revision>
  <cp:lastPrinted>2020-11-03T23:24:00Z</cp:lastPrinted>
  <dcterms:created xsi:type="dcterms:W3CDTF">2020-09-14T04:14:00Z</dcterms:created>
  <dcterms:modified xsi:type="dcterms:W3CDTF">2020-11-03T23:33:00Z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